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FE567" w14:textId="4144F686" w:rsidR="005E2342" w:rsidRDefault="00292AC4" w:rsidP="00292AC4">
      <w:pPr>
        <w:jc w:val="center"/>
      </w:pPr>
      <w:bookmarkStart w:id="0" w:name="_GoBack"/>
      <w:bookmarkEnd w:id="0"/>
      <w:r w:rsidRPr="00292AC4">
        <w:pict w14:anchorId="621B4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75.75pt">
            <v:imagedata r:id="rId10" o:title="crest"/>
          </v:shape>
        </w:pict>
      </w:r>
    </w:p>
    <w:p w14:paraId="081D9A99" w14:textId="77777777" w:rsidR="00292AC4" w:rsidRDefault="00292AC4">
      <w:pPr>
        <w:jc w:val="center"/>
      </w:pPr>
    </w:p>
    <w:p w14:paraId="0DF07012" w14:textId="0621C9C8" w:rsidR="005E2342" w:rsidRDefault="005E2342">
      <w:pPr>
        <w:pStyle w:val="CoverText"/>
        <w:jc w:val="left"/>
        <w:rPr>
          <w:bCs/>
          <w:sz w:val="20"/>
          <w:u w:val="none"/>
        </w:rPr>
      </w:pPr>
      <w:r>
        <w:rPr>
          <w:bCs/>
        </w:rPr>
        <w:t xml:space="preserve">Neutral Citation Number: </w:t>
      </w:r>
      <w:r w:rsidR="00570A4A">
        <w:rPr>
          <w:bCs/>
        </w:rPr>
        <w:t xml:space="preserve">[2022] </w:t>
      </w:r>
      <w:proofErr w:type="spellStart"/>
      <w:r w:rsidR="00570A4A">
        <w:rPr>
          <w:bCs/>
        </w:rPr>
        <w:t>EWHC</w:t>
      </w:r>
      <w:proofErr w:type="spellEnd"/>
      <w:r w:rsidR="00570A4A">
        <w:rPr>
          <w:bCs/>
        </w:rPr>
        <w:t xml:space="preserve"> 908 (Admin)</w:t>
      </w:r>
      <w:r>
        <w:rPr>
          <w:bCs/>
        </w:rPr>
        <w:br/>
      </w:r>
    </w:p>
    <w:p w14:paraId="5C08193C" w14:textId="54BA5D44" w:rsidR="005E2342" w:rsidRDefault="005E2342">
      <w:pPr>
        <w:pStyle w:val="CoverText"/>
        <w:rPr>
          <w:b/>
          <w:spacing w:val="-3"/>
        </w:rPr>
      </w:pPr>
      <w:r>
        <w:t xml:space="preserve">Case No: </w:t>
      </w:r>
      <w:r w:rsidR="006D4A69">
        <w:t>CO/1141/2019</w:t>
      </w:r>
    </w:p>
    <w:p w14:paraId="3DBD0390"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173E9351" w14:textId="77777777" w:rsidR="00764033" w:rsidRDefault="00764033">
      <w:pPr>
        <w:suppressAutoHyphens/>
        <w:rPr>
          <w:b/>
          <w:spacing w:val="-3"/>
          <w:u w:val="single"/>
        </w:rPr>
      </w:pPr>
      <w:r>
        <w:rPr>
          <w:b/>
          <w:spacing w:val="-3"/>
          <w:u w:val="single"/>
        </w:rPr>
        <w:t>QUEEN'S BENCH DIVISION</w:t>
      </w:r>
    </w:p>
    <w:p w14:paraId="56A64265" w14:textId="77777777" w:rsidR="005E2342" w:rsidRDefault="00764033">
      <w:pPr>
        <w:suppressAutoHyphens/>
        <w:rPr>
          <w:b/>
          <w:spacing w:val="-3"/>
          <w:u w:val="single"/>
        </w:rPr>
      </w:pPr>
      <w:r>
        <w:rPr>
          <w:b/>
          <w:spacing w:val="-3"/>
          <w:u w:val="single"/>
        </w:rPr>
        <w:t>ADMINISTRATIVE COURT</w:t>
      </w:r>
    </w:p>
    <w:p w14:paraId="434E10D5" w14:textId="77777777" w:rsidR="005E2342" w:rsidRDefault="005E2342">
      <w:pPr>
        <w:suppressAutoHyphens/>
        <w:rPr>
          <w:b/>
          <w:spacing w:val="-3"/>
          <w:u w:val="single"/>
        </w:rPr>
      </w:pPr>
    </w:p>
    <w:p w14:paraId="24E883B0" w14:textId="77777777" w:rsidR="005E2342" w:rsidRDefault="005E2342">
      <w:pPr>
        <w:pStyle w:val="CoverText"/>
      </w:pPr>
      <w:r>
        <w:t>Royal Courts of Justice</w:t>
      </w:r>
    </w:p>
    <w:p w14:paraId="0710B548" w14:textId="77777777" w:rsidR="005E2342" w:rsidRDefault="005E2342">
      <w:pPr>
        <w:pStyle w:val="CoverText"/>
      </w:pPr>
      <w:r>
        <w:t>Strand, London, WC2A 2LL</w:t>
      </w:r>
    </w:p>
    <w:p w14:paraId="2707436E" w14:textId="77777777" w:rsidR="005E2342" w:rsidRDefault="005E2342">
      <w:pPr>
        <w:suppressAutoHyphens/>
        <w:jc w:val="right"/>
        <w:rPr>
          <w:spacing w:val="-3"/>
          <w:u w:val="single"/>
        </w:rPr>
      </w:pPr>
    </w:p>
    <w:p w14:paraId="5CB2963F" w14:textId="605DBED4" w:rsidR="005E2342" w:rsidRDefault="005E2342">
      <w:pPr>
        <w:pStyle w:val="CoverText"/>
        <w:rPr>
          <w:b/>
        </w:rPr>
      </w:pPr>
      <w:r>
        <w:t xml:space="preserve">Date: </w:t>
      </w:r>
      <w:r w:rsidR="00166B94">
        <w:t>13</w:t>
      </w:r>
      <w:r w:rsidR="006D4A69">
        <w:t>/04/2022</w:t>
      </w:r>
    </w:p>
    <w:p w14:paraId="4A3ACD12" w14:textId="77777777" w:rsidR="005E2342" w:rsidRDefault="005E2342">
      <w:pPr>
        <w:suppressAutoHyphens/>
        <w:rPr>
          <w:spacing w:val="-3"/>
        </w:rPr>
      </w:pPr>
    </w:p>
    <w:p w14:paraId="4CDA11BE" w14:textId="77777777" w:rsidR="005E2342" w:rsidRDefault="005E2342">
      <w:pPr>
        <w:suppressAutoHyphens/>
        <w:jc w:val="center"/>
        <w:rPr>
          <w:spacing w:val="-3"/>
        </w:rPr>
      </w:pPr>
      <w:r>
        <w:rPr>
          <w:b/>
          <w:spacing w:val="-3"/>
        </w:rPr>
        <w:t>Before</w:t>
      </w:r>
      <w:r>
        <w:rPr>
          <w:spacing w:val="-3"/>
        </w:rPr>
        <w:t xml:space="preserve"> :</w:t>
      </w:r>
    </w:p>
    <w:p w14:paraId="64E77692" w14:textId="77777777" w:rsidR="005E2342" w:rsidRDefault="005E2342">
      <w:pPr>
        <w:suppressAutoHyphens/>
        <w:jc w:val="center"/>
        <w:rPr>
          <w:spacing w:val="-3"/>
        </w:rPr>
      </w:pPr>
    </w:p>
    <w:p w14:paraId="1EBCA2FF" w14:textId="18DE3910" w:rsidR="005E2342" w:rsidRDefault="001837AC">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COULSON</w:t>
      </w:r>
    </w:p>
    <w:p w14:paraId="203FD52F" w14:textId="6B8E9196" w:rsidR="001837AC" w:rsidRDefault="005D569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MR JUSTICE HOLGATE</w:t>
      </w:r>
    </w:p>
    <w:p w14:paraId="45C5CFF3" w14:textId="77777777" w:rsidR="005E2342" w:rsidRDefault="005E2342">
      <w:pPr>
        <w:suppressAutoHyphens/>
        <w:jc w:val="center"/>
        <w:rPr>
          <w:spacing w:val="-3"/>
        </w:rPr>
      </w:pPr>
      <w:r>
        <w:rPr>
          <w:spacing w:val="-3"/>
        </w:rPr>
        <w:t>- - - - - - - - - - - - - - - - - - - - -</w:t>
      </w:r>
    </w:p>
    <w:p w14:paraId="50C789C6" w14:textId="77777777" w:rsidR="005E2342" w:rsidRDefault="005E2342">
      <w:pPr>
        <w:suppressAutoHyphens/>
        <w:jc w:val="center"/>
        <w:rPr>
          <w:b/>
          <w:spacing w:val="-3"/>
        </w:rPr>
      </w:pPr>
      <w:r>
        <w:rPr>
          <w:b/>
          <w:spacing w:val="-3"/>
        </w:rPr>
        <w:t>Between :</w:t>
      </w:r>
    </w:p>
    <w:p w14:paraId="11FD4B5F" w14:textId="77777777" w:rsidR="005E2342" w:rsidRDefault="005E2342">
      <w:pPr>
        <w:suppressAutoHyphens/>
        <w:rPr>
          <w:b/>
          <w:spacing w:val="-3"/>
        </w:rPr>
      </w:pPr>
    </w:p>
    <w:tbl>
      <w:tblPr>
        <w:tblW w:w="9126" w:type="dxa"/>
        <w:jc w:val="center"/>
        <w:tblLayout w:type="fixed"/>
        <w:tblLook w:val="0000" w:firstRow="0" w:lastRow="0" w:firstColumn="0" w:lastColumn="0" w:noHBand="0" w:noVBand="0"/>
      </w:tblPr>
      <w:tblGrid>
        <w:gridCol w:w="1776"/>
        <w:gridCol w:w="5568"/>
        <w:gridCol w:w="1782"/>
      </w:tblGrid>
      <w:tr w:rsidR="005E2342" w14:paraId="215A577C" w14:textId="77777777">
        <w:trPr>
          <w:jc w:val="center"/>
        </w:trPr>
        <w:tc>
          <w:tcPr>
            <w:tcW w:w="1701" w:type="dxa"/>
          </w:tcPr>
          <w:p w14:paraId="3D413834" w14:textId="77777777" w:rsidR="005E2342" w:rsidRDefault="005E2342">
            <w:pPr>
              <w:suppressAutoHyphens/>
              <w:rPr>
                <w:b/>
                <w:spacing w:val="-3"/>
              </w:rPr>
            </w:pPr>
          </w:p>
        </w:tc>
        <w:tc>
          <w:tcPr>
            <w:tcW w:w="5333" w:type="dxa"/>
          </w:tcPr>
          <w:p w14:paraId="0A1601AE" w14:textId="34C0CAE0" w:rsidR="005E2342" w:rsidRDefault="00292AC4">
            <w:pPr>
              <w:suppressAutoHyphens/>
              <w:jc w:val="center"/>
              <w:rPr>
                <w:b/>
                <w:spacing w:val="-3"/>
              </w:rPr>
            </w:pPr>
            <w:r>
              <w:rPr>
                <w:b/>
                <w:spacing w:val="-3"/>
              </w:rPr>
              <w:t xml:space="preserve">The Queen on the Application of </w:t>
            </w:r>
            <w:proofErr w:type="spellStart"/>
            <w:r>
              <w:rPr>
                <w:b/>
                <w:spacing w:val="-3"/>
              </w:rPr>
              <w:t>Mihaylov</w:t>
            </w:r>
            <w:proofErr w:type="spellEnd"/>
          </w:p>
        </w:tc>
        <w:tc>
          <w:tcPr>
            <w:tcW w:w="1707" w:type="dxa"/>
          </w:tcPr>
          <w:p w14:paraId="094B1B13" w14:textId="77777777" w:rsidR="005E2342" w:rsidRDefault="007640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Claimant</w:t>
            </w:r>
          </w:p>
        </w:tc>
      </w:tr>
      <w:tr w:rsidR="005E2342" w14:paraId="11D130B4" w14:textId="77777777">
        <w:trPr>
          <w:jc w:val="center"/>
        </w:trPr>
        <w:tc>
          <w:tcPr>
            <w:tcW w:w="1701" w:type="dxa"/>
          </w:tcPr>
          <w:p w14:paraId="21DAF0A3" w14:textId="77777777" w:rsidR="005E2342" w:rsidRDefault="005E2342">
            <w:pPr>
              <w:suppressAutoHyphens/>
              <w:rPr>
                <w:b/>
                <w:spacing w:val="-3"/>
              </w:rPr>
            </w:pPr>
          </w:p>
        </w:tc>
        <w:tc>
          <w:tcPr>
            <w:tcW w:w="5333" w:type="dxa"/>
          </w:tcPr>
          <w:p w14:paraId="674E66B8" w14:textId="77777777" w:rsidR="005E2342" w:rsidRDefault="005E2342">
            <w:pPr>
              <w:suppressAutoHyphens/>
              <w:jc w:val="center"/>
              <w:rPr>
                <w:b/>
                <w:spacing w:val="-3"/>
              </w:rPr>
            </w:pPr>
            <w:r>
              <w:rPr>
                <w:b/>
                <w:spacing w:val="-3"/>
              </w:rPr>
              <w:t>- and -</w:t>
            </w:r>
          </w:p>
        </w:tc>
        <w:tc>
          <w:tcPr>
            <w:tcW w:w="1707" w:type="dxa"/>
          </w:tcPr>
          <w:p w14:paraId="45C781F3"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35D266F1" w14:textId="77777777">
        <w:trPr>
          <w:jc w:val="center"/>
        </w:trPr>
        <w:tc>
          <w:tcPr>
            <w:tcW w:w="1701" w:type="dxa"/>
          </w:tcPr>
          <w:p w14:paraId="214632AC" w14:textId="77777777" w:rsidR="005E2342" w:rsidRDefault="005E2342">
            <w:pPr>
              <w:suppressAutoHyphens/>
              <w:rPr>
                <w:b/>
                <w:spacing w:val="-3"/>
              </w:rPr>
            </w:pPr>
          </w:p>
        </w:tc>
        <w:tc>
          <w:tcPr>
            <w:tcW w:w="5333" w:type="dxa"/>
          </w:tcPr>
          <w:p w14:paraId="1D12BCB0" w14:textId="55FE2105" w:rsidR="005E2342" w:rsidRDefault="00292AC4">
            <w:pPr>
              <w:suppressAutoHyphens/>
              <w:jc w:val="center"/>
              <w:rPr>
                <w:b/>
                <w:spacing w:val="-3"/>
              </w:rPr>
            </w:pPr>
            <w:r>
              <w:rPr>
                <w:b/>
                <w:spacing w:val="-3"/>
              </w:rPr>
              <w:t xml:space="preserve">Regional Prosecutions Office in </w:t>
            </w:r>
            <w:proofErr w:type="spellStart"/>
            <w:r>
              <w:rPr>
                <w:b/>
                <w:spacing w:val="-3"/>
              </w:rPr>
              <w:t>Burgas</w:t>
            </w:r>
            <w:proofErr w:type="spellEnd"/>
            <w:r>
              <w:rPr>
                <w:b/>
                <w:spacing w:val="-3"/>
              </w:rPr>
              <w:t xml:space="preserve"> (Bulgaria) </w:t>
            </w:r>
          </w:p>
        </w:tc>
        <w:tc>
          <w:tcPr>
            <w:tcW w:w="1707" w:type="dxa"/>
          </w:tcPr>
          <w:p w14:paraId="72DD7B5C" w14:textId="77777777" w:rsidR="005E2342" w:rsidRDefault="0076403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Defendant</w:t>
            </w:r>
          </w:p>
        </w:tc>
      </w:tr>
      <w:tr w:rsidR="00286223" w14:paraId="5A51D182" w14:textId="77777777">
        <w:trPr>
          <w:jc w:val="center"/>
        </w:trPr>
        <w:tc>
          <w:tcPr>
            <w:tcW w:w="1701" w:type="dxa"/>
          </w:tcPr>
          <w:p w14:paraId="67EB362F" w14:textId="77777777" w:rsidR="00286223" w:rsidRDefault="00286223">
            <w:pPr>
              <w:suppressAutoHyphens/>
              <w:rPr>
                <w:b/>
                <w:spacing w:val="-3"/>
              </w:rPr>
            </w:pPr>
          </w:p>
        </w:tc>
        <w:tc>
          <w:tcPr>
            <w:tcW w:w="5333" w:type="dxa"/>
          </w:tcPr>
          <w:p w14:paraId="458AA48E" w14:textId="62AA9247" w:rsidR="00286223" w:rsidRDefault="003F5C60" w:rsidP="003F5C60">
            <w:pPr>
              <w:suppressAutoHyphens/>
              <w:jc w:val="center"/>
              <w:rPr>
                <w:b/>
                <w:spacing w:val="-3"/>
              </w:rPr>
            </w:pPr>
            <w:r>
              <w:rPr>
                <w:b/>
                <w:spacing w:val="-3"/>
              </w:rPr>
              <w:t>- and -</w:t>
            </w:r>
          </w:p>
        </w:tc>
        <w:tc>
          <w:tcPr>
            <w:tcW w:w="1707" w:type="dxa"/>
          </w:tcPr>
          <w:p w14:paraId="72D7C29C" w14:textId="77777777" w:rsidR="00286223" w:rsidRDefault="0028622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286223" w14:paraId="624796DA" w14:textId="77777777">
        <w:trPr>
          <w:jc w:val="center"/>
        </w:trPr>
        <w:tc>
          <w:tcPr>
            <w:tcW w:w="1701" w:type="dxa"/>
          </w:tcPr>
          <w:p w14:paraId="0FDF455E" w14:textId="77777777" w:rsidR="00286223" w:rsidRDefault="00286223">
            <w:pPr>
              <w:suppressAutoHyphens/>
              <w:rPr>
                <w:b/>
                <w:spacing w:val="-3"/>
              </w:rPr>
            </w:pPr>
          </w:p>
        </w:tc>
        <w:tc>
          <w:tcPr>
            <w:tcW w:w="5333" w:type="dxa"/>
          </w:tcPr>
          <w:p w14:paraId="0374D229" w14:textId="24323193" w:rsidR="00286223" w:rsidRDefault="003F5C60">
            <w:pPr>
              <w:suppressAutoHyphens/>
              <w:jc w:val="center"/>
              <w:rPr>
                <w:b/>
                <w:spacing w:val="-3"/>
              </w:rPr>
            </w:pPr>
            <w:r>
              <w:rPr>
                <w:b/>
                <w:spacing w:val="-3"/>
              </w:rPr>
              <w:t xml:space="preserve">National </w:t>
            </w:r>
            <w:r w:rsidR="009E25F1">
              <w:rPr>
                <w:b/>
                <w:spacing w:val="-3"/>
              </w:rPr>
              <w:t>Crime Agency</w:t>
            </w:r>
          </w:p>
        </w:tc>
        <w:tc>
          <w:tcPr>
            <w:tcW w:w="1707" w:type="dxa"/>
          </w:tcPr>
          <w:p w14:paraId="33AF2C69" w14:textId="39C6B5BD" w:rsidR="00286223" w:rsidRDefault="009E25F1" w:rsidP="009E25F1">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Interested Party</w:t>
            </w:r>
          </w:p>
        </w:tc>
      </w:tr>
    </w:tbl>
    <w:p w14:paraId="63C40264" w14:textId="77777777" w:rsidR="005E2342" w:rsidRDefault="005E2342">
      <w:pPr>
        <w:suppressAutoHyphens/>
        <w:rPr>
          <w:b/>
          <w:spacing w:val="-3"/>
        </w:rPr>
      </w:pPr>
    </w:p>
    <w:p w14:paraId="719CA42C" w14:textId="77777777" w:rsidR="005E2342" w:rsidRDefault="005E2342">
      <w:pPr>
        <w:suppressAutoHyphens/>
        <w:jc w:val="center"/>
        <w:rPr>
          <w:spacing w:val="-3"/>
        </w:rPr>
      </w:pPr>
      <w:r>
        <w:rPr>
          <w:spacing w:val="-3"/>
        </w:rPr>
        <w:t>- - - - - - - - - - - - - - - - - - - - -</w:t>
      </w:r>
    </w:p>
    <w:p w14:paraId="215310C4" w14:textId="77777777" w:rsidR="005E2342" w:rsidRDefault="005E2342">
      <w:pPr>
        <w:suppressAutoHyphens/>
        <w:jc w:val="center"/>
        <w:rPr>
          <w:spacing w:val="-3"/>
        </w:rPr>
      </w:pPr>
      <w:r>
        <w:rPr>
          <w:spacing w:val="-3"/>
        </w:rPr>
        <w:t>- - - - - - - - - - - - - - - - - - - - -</w:t>
      </w:r>
    </w:p>
    <w:p w14:paraId="0AB6EE85" w14:textId="77777777" w:rsidR="005E2342" w:rsidRDefault="005E2342">
      <w:pPr>
        <w:suppressAutoHyphens/>
        <w:jc w:val="center"/>
        <w:rPr>
          <w:spacing w:val="-3"/>
        </w:rPr>
      </w:pPr>
    </w:p>
    <w:p w14:paraId="26E92A73" w14:textId="396EB1A3" w:rsidR="005E2342" w:rsidRDefault="00292AC4">
      <w:pPr>
        <w:suppressAutoHyphens/>
        <w:jc w:val="center"/>
        <w:rPr>
          <w:b/>
          <w:spacing w:val="-3"/>
        </w:rPr>
      </w:pPr>
      <w:r>
        <w:rPr>
          <w:b/>
          <w:spacing w:val="-3"/>
        </w:rPr>
        <w:t xml:space="preserve">Tim Owen QC and Florence </w:t>
      </w:r>
      <w:proofErr w:type="spellStart"/>
      <w:r>
        <w:rPr>
          <w:b/>
          <w:spacing w:val="-3"/>
        </w:rPr>
        <w:t>Iveson</w:t>
      </w:r>
      <w:proofErr w:type="spellEnd"/>
      <w:r w:rsidR="005E2342">
        <w:rPr>
          <w:b/>
          <w:spacing w:val="-3"/>
        </w:rPr>
        <w:t xml:space="preserve"> </w:t>
      </w:r>
      <w:r w:rsidR="005E2342">
        <w:rPr>
          <w:bCs/>
          <w:spacing w:val="-3"/>
        </w:rPr>
        <w:t>(instructed by</w:t>
      </w:r>
      <w:r w:rsidR="00DC6D0F">
        <w:rPr>
          <w:bCs/>
          <w:spacing w:val="-3"/>
        </w:rPr>
        <w:t xml:space="preserve"> </w:t>
      </w:r>
      <w:r w:rsidR="00E272A2">
        <w:rPr>
          <w:b/>
          <w:spacing w:val="-3"/>
        </w:rPr>
        <w:t>Tuckers Solicitors LLP</w:t>
      </w:r>
      <w:r w:rsidR="005E2342">
        <w:rPr>
          <w:bCs/>
          <w:spacing w:val="-3"/>
        </w:rPr>
        <w:t>) for the</w:t>
      </w:r>
      <w:r w:rsidR="00683E61">
        <w:rPr>
          <w:spacing w:val="-3"/>
        </w:rPr>
        <w:t xml:space="preserve"> </w:t>
      </w:r>
      <w:r w:rsidR="00683E61" w:rsidRPr="00683E61">
        <w:rPr>
          <w:b/>
          <w:bCs/>
          <w:spacing w:val="-3"/>
        </w:rPr>
        <w:t>Appellant</w:t>
      </w:r>
    </w:p>
    <w:p w14:paraId="5A0E5837" w14:textId="1D875095" w:rsidR="005E2342" w:rsidRDefault="00292AC4">
      <w:pPr>
        <w:suppressAutoHyphens/>
        <w:jc w:val="center"/>
        <w:rPr>
          <w:bCs/>
          <w:spacing w:val="-3"/>
        </w:rPr>
      </w:pPr>
      <w:r>
        <w:rPr>
          <w:b/>
          <w:spacing w:val="-3"/>
        </w:rPr>
        <w:t>James Hines QC and Stuart Allen</w:t>
      </w:r>
      <w:r w:rsidR="005E2342">
        <w:rPr>
          <w:bCs/>
          <w:spacing w:val="-3"/>
        </w:rPr>
        <w:t xml:space="preserve"> (instructed by</w:t>
      </w:r>
      <w:r w:rsidR="00E272A2">
        <w:rPr>
          <w:bCs/>
          <w:spacing w:val="-3"/>
        </w:rPr>
        <w:t xml:space="preserve"> </w:t>
      </w:r>
      <w:r>
        <w:rPr>
          <w:b/>
          <w:spacing w:val="-3"/>
        </w:rPr>
        <w:t>Crown Prosecution Services</w:t>
      </w:r>
      <w:r w:rsidR="005E2342">
        <w:rPr>
          <w:bCs/>
          <w:spacing w:val="-3"/>
        </w:rPr>
        <w:t xml:space="preserve">) for the </w:t>
      </w:r>
      <w:r>
        <w:rPr>
          <w:b/>
          <w:spacing w:val="-3"/>
        </w:rPr>
        <w:t>Respondent</w:t>
      </w:r>
    </w:p>
    <w:p w14:paraId="735B1908" w14:textId="77777777" w:rsidR="005E2342" w:rsidRDefault="005E2342">
      <w:pPr>
        <w:suppressAutoHyphens/>
        <w:jc w:val="center"/>
        <w:rPr>
          <w:b/>
          <w:spacing w:val="-3"/>
        </w:rPr>
      </w:pPr>
    </w:p>
    <w:p w14:paraId="08DC4D0F" w14:textId="72AD9F04" w:rsidR="005E2342" w:rsidRDefault="005E2342">
      <w:pPr>
        <w:suppressAutoHyphens/>
        <w:jc w:val="center"/>
        <w:rPr>
          <w:spacing w:val="-3"/>
        </w:rPr>
      </w:pPr>
      <w:r>
        <w:rPr>
          <w:spacing w:val="-3"/>
        </w:rPr>
        <w:t xml:space="preserve">Hearing </w:t>
      </w:r>
      <w:r w:rsidR="00540CA8">
        <w:rPr>
          <w:spacing w:val="-3"/>
        </w:rPr>
        <w:t>D</w:t>
      </w:r>
      <w:r>
        <w:rPr>
          <w:spacing w:val="-3"/>
        </w:rPr>
        <w:t xml:space="preserve">ate: </w:t>
      </w:r>
      <w:r w:rsidR="00292AC4">
        <w:rPr>
          <w:spacing w:val="-3"/>
        </w:rPr>
        <w:t>7 April 2022</w:t>
      </w:r>
    </w:p>
    <w:p w14:paraId="0684E363" w14:textId="77777777" w:rsidR="005E2342" w:rsidRDefault="005E2342">
      <w:pPr>
        <w:suppressAutoHyphens/>
        <w:jc w:val="center"/>
        <w:rPr>
          <w:spacing w:val="-3"/>
        </w:rPr>
      </w:pPr>
      <w:r>
        <w:rPr>
          <w:spacing w:val="-3"/>
        </w:rPr>
        <w:t>- - - - - - - - - - - - - - - - - - - - -</w:t>
      </w:r>
    </w:p>
    <w:p w14:paraId="33140384" w14:textId="656974E9" w:rsidR="005E2342" w:rsidRDefault="00292AC4" w:rsidP="00292AC4">
      <w:pPr>
        <w:pStyle w:val="CoverDesc"/>
      </w:pPr>
      <w:r>
        <w:t>Approved Judgment</w:t>
      </w:r>
    </w:p>
    <w:p w14:paraId="21D79B6C" w14:textId="77777777" w:rsidR="005E2342" w:rsidRDefault="005E2342">
      <w:pPr>
        <w:pStyle w:val="CoverDesc"/>
        <w:rPr>
          <w:sz w:val="24"/>
        </w:rPr>
      </w:pPr>
    </w:p>
    <w:p w14:paraId="26455E1F" w14:textId="77777777" w:rsidR="005E2342" w:rsidRDefault="005E2342"/>
    <w:p w14:paraId="4E38A014" w14:textId="77777777" w:rsidR="005E2342" w:rsidRDefault="005E2342">
      <w:pPr>
        <w:sectPr w:rsidR="005E2342">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6D6210C8" w14:textId="4C56783A" w:rsidR="005E2342" w:rsidRDefault="00292AC4">
      <w:pPr>
        <w:spacing w:after="240"/>
      </w:pPr>
      <w:r>
        <w:rPr>
          <w:b/>
        </w:rPr>
        <w:lastRenderedPageBreak/>
        <w:t>LORD JUSTICE COULSON</w:t>
      </w:r>
      <w:r w:rsidR="005E2342">
        <w:rPr>
          <w:b/>
        </w:rPr>
        <w:t xml:space="preserve"> :</w:t>
      </w:r>
      <w:r w:rsidR="005E2342">
        <w:t xml:space="preserve"> </w:t>
      </w:r>
    </w:p>
    <w:p w14:paraId="662AA99D" w14:textId="77777777" w:rsidR="005E2342" w:rsidRDefault="005E2342">
      <w:pPr>
        <w:pStyle w:val="ParaHeading"/>
        <w:sectPr w:rsidR="005E2342">
          <w:headerReference w:type="default" r:id="rId17"/>
          <w:footerReference w:type="default" r:id="rId18"/>
          <w:pgSz w:w="11909" w:h="16834" w:code="9"/>
          <w:pgMar w:top="1440" w:right="1440" w:bottom="1440" w:left="1440" w:header="709" w:footer="709" w:gutter="0"/>
          <w:cols w:space="720"/>
          <w:formProt w:val="0"/>
        </w:sectPr>
      </w:pPr>
    </w:p>
    <w:p w14:paraId="0DB9C7AD" w14:textId="0A6AC6F4" w:rsidR="005E2342" w:rsidRPr="00AB2FB8" w:rsidRDefault="00670D26" w:rsidP="00292AC4">
      <w:pPr>
        <w:pStyle w:val="ParaLevel1"/>
        <w:numPr>
          <w:ilvl w:val="0"/>
          <w:numId w:val="0"/>
        </w:numPr>
        <w:rPr>
          <w:b/>
          <w:bCs/>
        </w:rPr>
      </w:pPr>
      <w:r w:rsidRPr="00AB2FB8">
        <w:rPr>
          <w:b/>
          <w:bCs/>
        </w:rPr>
        <w:t>1.</w:t>
      </w:r>
      <w:r w:rsidR="00EB76EE" w:rsidRPr="00AB2FB8">
        <w:rPr>
          <w:b/>
          <w:bCs/>
        </w:rPr>
        <w:t>Introduction</w:t>
      </w:r>
    </w:p>
    <w:p w14:paraId="4D6331AB" w14:textId="6DEC70A2" w:rsidR="005D5697" w:rsidRDefault="00EB76EE" w:rsidP="00292AC4">
      <w:pPr>
        <w:pStyle w:val="ParaLevel1"/>
      </w:pPr>
      <w:r>
        <w:t xml:space="preserve">The appellant is the subject of </w:t>
      </w:r>
      <w:r w:rsidR="00F31D38">
        <w:t>a European Arrest Warrant (“</w:t>
      </w:r>
      <w:proofErr w:type="spellStart"/>
      <w:r w:rsidR="00F31D38">
        <w:t>EAW</w:t>
      </w:r>
      <w:proofErr w:type="spellEnd"/>
      <w:r w:rsidR="00F31D38">
        <w:t xml:space="preserve">”) to which </w:t>
      </w:r>
      <w:r w:rsidR="00AB2FB8">
        <w:t>P</w:t>
      </w:r>
      <w:r w:rsidR="00F31D38">
        <w:t xml:space="preserve">art </w:t>
      </w:r>
      <w:r w:rsidR="00AB2FB8">
        <w:t xml:space="preserve">1 </w:t>
      </w:r>
      <w:r w:rsidR="00F31D38">
        <w:t xml:space="preserve">of the Extradition Act </w:t>
      </w:r>
      <w:r w:rsidR="00296867">
        <w:t xml:space="preserve">2003 </w:t>
      </w:r>
      <w:r w:rsidR="00F31D38">
        <w:t>(“the Act”) applies.</w:t>
      </w:r>
      <w:r w:rsidR="00F2250C">
        <w:t xml:space="preserve"> Following a hearing before District Judge (MC) Ezzat</w:t>
      </w:r>
      <w:r w:rsidR="00F11BDD">
        <w:t xml:space="preserve"> (“the judge”)</w:t>
      </w:r>
      <w:r w:rsidR="0013155A">
        <w:t>,</w:t>
      </w:r>
      <w:r w:rsidR="00F11BDD">
        <w:t xml:space="preserve"> his extradition was ordered</w:t>
      </w:r>
      <w:r w:rsidR="0013155A">
        <w:t xml:space="preserve"> in March 2021</w:t>
      </w:r>
      <w:r w:rsidR="00F11BDD">
        <w:t xml:space="preserve">. His application for permission to appeal </w:t>
      </w:r>
      <w:r w:rsidR="0013155A">
        <w:t xml:space="preserve">against that decision </w:t>
      </w:r>
      <w:r w:rsidR="00F11BDD">
        <w:t>was refused on the papers by Johnson J.</w:t>
      </w:r>
      <w:r w:rsidR="00296D1F">
        <w:t xml:space="preserve"> Following an oral application (at which the respondent was not present)</w:t>
      </w:r>
      <w:r w:rsidR="0013155A">
        <w:t>,</w:t>
      </w:r>
      <w:r w:rsidR="00296D1F">
        <w:t xml:space="preserve"> leave t</w:t>
      </w:r>
      <w:r w:rsidR="00670D26">
        <w:t>o</w:t>
      </w:r>
      <w:r w:rsidR="00296D1F">
        <w:t xml:space="preserve"> appeal was granted by Ma</w:t>
      </w:r>
      <w:r w:rsidR="00670D26">
        <w:t xml:space="preserve">y J on 26 January 2022. </w:t>
      </w:r>
      <w:r w:rsidR="0012121D">
        <w:t>A</w:t>
      </w:r>
      <w:r w:rsidR="002236B2">
        <w:t>s part of her order, a</w:t>
      </w:r>
      <w:r w:rsidR="0012121D">
        <w:t xml:space="preserve"> </w:t>
      </w:r>
      <w:r w:rsidR="0007786E">
        <w:t xml:space="preserve">template </w:t>
      </w:r>
      <w:r w:rsidR="0012121D">
        <w:t>set of questions</w:t>
      </w:r>
      <w:r w:rsidR="00FC2F70">
        <w:t xml:space="preserve"> ‘</w:t>
      </w:r>
      <w:r w:rsidR="0012121D">
        <w:t>borrowed</w:t>
      </w:r>
      <w:r w:rsidR="00FC2F70">
        <w:t>’</w:t>
      </w:r>
      <w:r w:rsidR="0012121D">
        <w:t xml:space="preserve"> from another case involving extradition to Bulgaria, </w:t>
      </w:r>
      <w:r w:rsidR="002236B2">
        <w:t xml:space="preserve">was </w:t>
      </w:r>
      <w:r w:rsidR="00F6496F">
        <w:t>put to</w:t>
      </w:r>
      <w:r w:rsidR="002236B2">
        <w:t xml:space="preserve"> the Bulgarian authorities.</w:t>
      </w:r>
    </w:p>
    <w:p w14:paraId="5C24B089" w14:textId="7C80F3F5" w:rsidR="00670D26" w:rsidRDefault="00670D26" w:rsidP="00292AC4">
      <w:pPr>
        <w:pStyle w:val="ParaLevel1"/>
      </w:pPr>
      <w:r>
        <w:t xml:space="preserve">There are </w:t>
      </w:r>
      <w:r w:rsidR="00C545BE">
        <w:t>two Grounds of Appeal. The first is that the Bulgarian authorities do not have effective specialty arrangements in place, contra</w:t>
      </w:r>
      <w:r w:rsidR="001363D0">
        <w:t xml:space="preserve">ry to s.17 of the Act. The second is that extradition presents a real risk </w:t>
      </w:r>
      <w:r w:rsidR="004E7B67">
        <w:t xml:space="preserve">to the appellant </w:t>
      </w:r>
      <w:r w:rsidR="001363D0">
        <w:t>of a breach of Article 3</w:t>
      </w:r>
      <w:r w:rsidR="004054F9">
        <w:t xml:space="preserve"> due to the conditions in Bulgarian prisons</w:t>
      </w:r>
      <w:r w:rsidR="003B606F">
        <w:t xml:space="preserve">, </w:t>
      </w:r>
      <w:r w:rsidR="004054F9">
        <w:t xml:space="preserve">the failure of the Bulgarian authorities to comply with </w:t>
      </w:r>
      <w:r w:rsidR="00DB3CE5">
        <w:t>assurances in other cases</w:t>
      </w:r>
      <w:r w:rsidR="00BB081E">
        <w:t>, and the alleged inadequacy of the assurances in the present case</w:t>
      </w:r>
      <w:r w:rsidR="00DB3CE5">
        <w:t>.</w:t>
      </w:r>
    </w:p>
    <w:p w14:paraId="5B6002E0" w14:textId="2FDF1145" w:rsidR="00DB3CE5" w:rsidRPr="00DB3CE5" w:rsidRDefault="00DB3CE5" w:rsidP="00292AC4">
      <w:pPr>
        <w:pStyle w:val="ParaLevel1"/>
        <w:numPr>
          <w:ilvl w:val="0"/>
          <w:numId w:val="0"/>
        </w:numPr>
        <w:rPr>
          <w:b/>
          <w:bCs/>
        </w:rPr>
      </w:pPr>
      <w:r w:rsidRPr="00DB3CE5">
        <w:rPr>
          <w:b/>
          <w:bCs/>
        </w:rPr>
        <w:t>2.The Background Facts</w:t>
      </w:r>
    </w:p>
    <w:p w14:paraId="6AE59E7E" w14:textId="45550180" w:rsidR="005D5697" w:rsidRDefault="004B1090" w:rsidP="00292AC4">
      <w:pPr>
        <w:pStyle w:val="ParaLevel1"/>
      </w:pPr>
      <w:r>
        <w:t>The appellant was convicted of a driving offence contrary to Article 343</w:t>
      </w:r>
      <w:r w:rsidR="004A4237">
        <w:t xml:space="preserve">c(2) of the Bulgarian criminal code. The date of the criminal conduct was 22 January 2017 and the location was </w:t>
      </w:r>
      <w:proofErr w:type="spellStart"/>
      <w:r w:rsidR="004A4237">
        <w:t>Murgash</w:t>
      </w:r>
      <w:proofErr w:type="spellEnd"/>
      <w:r w:rsidR="004A4237">
        <w:t xml:space="preserve"> Street in the city of </w:t>
      </w:r>
      <w:proofErr w:type="spellStart"/>
      <w:r w:rsidR="004A4237">
        <w:t>Burgas</w:t>
      </w:r>
      <w:proofErr w:type="spellEnd"/>
      <w:r w:rsidR="004A4237">
        <w:t xml:space="preserve">. </w:t>
      </w:r>
      <w:r w:rsidR="000B516B">
        <w:t xml:space="preserve">The </w:t>
      </w:r>
      <w:r w:rsidR="00AF4A03">
        <w:t xml:space="preserve">offence was the equivalent in domestic law of driving without a licence. The </w:t>
      </w:r>
      <w:r w:rsidR="000B516B">
        <w:t xml:space="preserve">appellant was sentenced to one year and six months. </w:t>
      </w:r>
    </w:p>
    <w:p w14:paraId="2213AA51" w14:textId="77230B70" w:rsidR="000B516B" w:rsidRDefault="000B516B" w:rsidP="00292AC4">
      <w:pPr>
        <w:pStyle w:val="ParaLevel1"/>
      </w:pPr>
      <w:r>
        <w:t xml:space="preserve">The original conviction following trial </w:t>
      </w:r>
      <w:r w:rsidR="0088202C">
        <w:t>is 57/16.03.2017 on GC</w:t>
      </w:r>
      <w:r w:rsidR="00622DC4">
        <w:t xml:space="preserve">498/2017 of the District Court in </w:t>
      </w:r>
      <w:proofErr w:type="spellStart"/>
      <w:r w:rsidR="00622DC4">
        <w:t>Burgas</w:t>
      </w:r>
      <w:proofErr w:type="spellEnd"/>
      <w:r w:rsidR="00622DC4">
        <w:t xml:space="preserve">. </w:t>
      </w:r>
      <w:r w:rsidR="001F1783">
        <w:t>The appellant was present for that tria</w:t>
      </w:r>
      <w:r w:rsidR="00601BE2">
        <w:t xml:space="preserve">l, </w:t>
      </w:r>
      <w:r w:rsidR="00963401">
        <w:t>at which</w:t>
      </w:r>
      <w:r w:rsidR="001F1783">
        <w:t xml:space="preserve"> he was convicted and sentence</w:t>
      </w:r>
      <w:r w:rsidR="00A24EC9">
        <w:t>d</w:t>
      </w:r>
      <w:r w:rsidR="001F1783">
        <w:t>. He appealed</w:t>
      </w:r>
      <w:r w:rsidR="00A24EC9">
        <w:t>, and</w:t>
      </w:r>
      <w:r w:rsidR="00F7219A">
        <w:t xml:space="preserve"> also attended </w:t>
      </w:r>
      <w:r w:rsidR="00A24EC9">
        <w:t>the</w:t>
      </w:r>
      <w:r w:rsidR="00F7219A">
        <w:t xml:space="preserve"> appeal </w:t>
      </w:r>
      <w:r w:rsidR="00A24EC9">
        <w:t xml:space="preserve">hearing, </w:t>
      </w:r>
      <w:r w:rsidR="00F7219A">
        <w:t xml:space="preserve">but he left Bulgaria </w:t>
      </w:r>
      <w:r w:rsidR="00601BE2">
        <w:t>– without informing the Bulgarian authorities - for</w:t>
      </w:r>
      <w:r w:rsidR="00F7219A">
        <w:t xml:space="preserve"> the UK before the decision </w:t>
      </w:r>
      <w:r w:rsidR="00561CB0">
        <w:t xml:space="preserve">of the appellate court </w:t>
      </w:r>
      <w:r w:rsidR="00F7219A">
        <w:t xml:space="preserve">was handed down. The decision, which confirmed </w:t>
      </w:r>
      <w:r w:rsidR="002340B1">
        <w:t xml:space="preserve">the decision of the District Court, is </w:t>
      </w:r>
      <w:r w:rsidR="000B7891">
        <w:t xml:space="preserve">160/17.07.2017 on </w:t>
      </w:r>
      <w:proofErr w:type="spellStart"/>
      <w:r w:rsidR="000B7891">
        <w:t>AGCC</w:t>
      </w:r>
      <w:proofErr w:type="spellEnd"/>
      <w:r w:rsidR="000B7891">
        <w:t xml:space="preserve"> 6194/2017 of the </w:t>
      </w:r>
      <w:r w:rsidR="001B19A8">
        <w:t>P</w:t>
      </w:r>
      <w:r w:rsidR="000B7891">
        <w:t xml:space="preserve">rovincial </w:t>
      </w:r>
      <w:r w:rsidR="001B19A8">
        <w:t xml:space="preserve">Court </w:t>
      </w:r>
      <w:r w:rsidR="004754B8">
        <w:t>in</w:t>
      </w:r>
      <w:r w:rsidR="001B19A8">
        <w:t xml:space="preserve"> </w:t>
      </w:r>
      <w:proofErr w:type="spellStart"/>
      <w:r w:rsidR="001B19A8">
        <w:t>Burgas</w:t>
      </w:r>
      <w:proofErr w:type="spellEnd"/>
      <w:r w:rsidR="001B19A8">
        <w:t xml:space="preserve">. </w:t>
      </w:r>
      <w:r w:rsidR="00601BE2">
        <w:t>It</w:t>
      </w:r>
      <w:r w:rsidR="001B19A8">
        <w:t xml:space="preserve"> took effect on 17 July 2017. </w:t>
      </w:r>
    </w:p>
    <w:p w14:paraId="1B767638" w14:textId="65340FA5" w:rsidR="001B19A8" w:rsidRDefault="00245DA4" w:rsidP="00292AC4">
      <w:pPr>
        <w:pStyle w:val="ParaLevel1"/>
      </w:pPr>
      <w:r>
        <w:t xml:space="preserve">The appellant has not been convicted of any offence in the UK. He has, however, committed criminal offences in Bulgaria and has previously spent </w:t>
      </w:r>
      <w:r w:rsidR="00C77DF8">
        <w:t xml:space="preserve">ten years in </w:t>
      </w:r>
      <w:proofErr w:type="spellStart"/>
      <w:r w:rsidR="00C77DF8">
        <w:t>Burgas</w:t>
      </w:r>
      <w:proofErr w:type="spellEnd"/>
      <w:r w:rsidR="00C77DF8">
        <w:t xml:space="preserve"> prison.</w:t>
      </w:r>
    </w:p>
    <w:p w14:paraId="18C542B0" w14:textId="0F821CF1" w:rsidR="00C77DF8" w:rsidRDefault="00C77DF8" w:rsidP="00292AC4">
      <w:pPr>
        <w:pStyle w:val="ParaLevel1"/>
      </w:pPr>
      <w:r>
        <w:t xml:space="preserve">The </w:t>
      </w:r>
      <w:proofErr w:type="spellStart"/>
      <w:r>
        <w:t>EAW</w:t>
      </w:r>
      <w:proofErr w:type="spellEnd"/>
      <w:r>
        <w:t xml:space="preserve"> was issued on 23 October 2017 and certified on 27 October 2017 by the National Crime Agency as a warrant to which </w:t>
      </w:r>
      <w:r w:rsidR="00C763EB">
        <w:t>P</w:t>
      </w:r>
      <w:r>
        <w:t xml:space="preserve">art </w:t>
      </w:r>
      <w:r w:rsidR="00C763EB">
        <w:t>1</w:t>
      </w:r>
      <w:r>
        <w:t xml:space="preserve"> of the Act applies.</w:t>
      </w:r>
      <w:r w:rsidR="00D77450">
        <w:t xml:space="preserve"> The appellant was arrested in Skegness on 25 April 2020. </w:t>
      </w:r>
    </w:p>
    <w:p w14:paraId="7CE26575" w14:textId="2F1A4D4E" w:rsidR="00D77450" w:rsidRDefault="00D77450" w:rsidP="00292AC4">
      <w:pPr>
        <w:pStyle w:val="ParaLevel1"/>
      </w:pPr>
      <w:r>
        <w:t xml:space="preserve">The initial hearing took place at Westminster Magistrates Court on 27 April 2020. </w:t>
      </w:r>
      <w:r w:rsidR="000017F0">
        <w:t>Consent was put and refused so the extradition hearing was opened and adjourned. The appellant</w:t>
      </w:r>
      <w:r w:rsidR="00CC616C">
        <w:t>’</w:t>
      </w:r>
      <w:r w:rsidR="000017F0">
        <w:t xml:space="preserve">s case was subsequently joined with three others </w:t>
      </w:r>
      <w:r w:rsidR="00CC616C">
        <w:t xml:space="preserve">involving Bulgarian nationals </w:t>
      </w:r>
      <w:r w:rsidR="00786931">
        <w:t>so that the s.17 and Article 3 issues could be considered together. The substantive hearing took place</w:t>
      </w:r>
      <w:r w:rsidR="006711A0">
        <w:t xml:space="preserve"> over two days,</w:t>
      </w:r>
      <w:r w:rsidR="00786931">
        <w:t xml:space="preserve"> on 9 November 202</w:t>
      </w:r>
      <w:r w:rsidR="004C72E1">
        <w:t xml:space="preserve">0 and 20 January 2021. Judgment was handed down by the judge on 20 March 2021. Thereafter, as I </w:t>
      </w:r>
      <w:r w:rsidR="004C72E1">
        <w:lastRenderedPageBreak/>
        <w:t>have said, an application for permission to appeal was refused on papers but allowed following an oral hearing.</w:t>
      </w:r>
    </w:p>
    <w:p w14:paraId="60FE2B33" w14:textId="4EB6833A" w:rsidR="005D5697" w:rsidRDefault="00434C7F" w:rsidP="00292AC4">
      <w:pPr>
        <w:pStyle w:val="ParaLevel1"/>
      </w:pPr>
      <w:r>
        <w:t>The</w:t>
      </w:r>
      <w:r w:rsidR="009B65EE">
        <w:t xml:space="preserve">re have been a number of </w:t>
      </w:r>
      <w:r w:rsidR="00977575">
        <w:t xml:space="preserve">assurances provided by the Bulgarian authorities in this case. The </w:t>
      </w:r>
      <w:r w:rsidR="00744137">
        <w:t>assurance</w:t>
      </w:r>
      <w:r w:rsidR="00AD73A6">
        <w:t xml:space="preserve"> before the judge was dated </w:t>
      </w:r>
      <w:r w:rsidR="00630046">
        <w:t xml:space="preserve">26 </w:t>
      </w:r>
      <w:r w:rsidR="003A3EFD">
        <w:t xml:space="preserve">May 2020. The </w:t>
      </w:r>
      <w:r w:rsidR="00977575">
        <w:t xml:space="preserve">most recent is dated 22 </w:t>
      </w:r>
      <w:r w:rsidR="00C363F6">
        <w:t>M</w:t>
      </w:r>
      <w:r w:rsidR="00977575">
        <w:t xml:space="preserve">arch 2022, </w:t>
      </w:r>
      <w:r w:rsidR="00344C0A">
        <w:t>and it addresses the questions</w:t>
      </w:r>
      <w:r w:rsidR="00384FCF">
        <w:t xml:space="preserve"> </w:t>
      </w:r>
      <w:r w:rsidR="00744137">
        <w:t xml:space="preserve">that were </w:t>
      </w:r>
      <w:r w:rsidR="00384FCF">
        <w:t>asked</w:t>
      </w:r>
      <w:r w:rsidR="00344C0A">
        <w:t xml:space="preserve"> as part of </w:t>
      </w:r>
      <w:r w:rsidR="00744137">
        <w:t>May J’s</w:t>
      </w:r>
      <w:r w:rsidR="00344C0A">
        <w:t xml:space="preserve"> order granting permission to appeal. </w:t>
      </w:r>
      <w:r w:rsidR="00384FCF">
        <w:t>Th</w:t>
      </w:r>
      <w:r w:rsidR="00744137">
        <w:t>e</w:t>
      </w:r>
      <w:r w:rsidR="00384FCF">
        <w:t xml:space="preserve"> assurance</w:t>
      </w:r>
      <w:r w:rsidR="00344C0A">
        <w:t xml:space="preserve"> </w:t>
      </w:r>
      <w:r w:rsidR="00744137">
        <w:t xml:space="preserve">of 22 March 2022 </w:t>
      </w:r>
      <w:r w:rsidR="00977575">
        <w:t xml:space="preserve">is </w:t>
      </w:r>
      <w:r w:rsidR="00384FCF">
        <w:t>examined</w:t>
      </w:r>
      <w:r w:rsidR="00977575">
        <w:t xml:space="preserve"> in greater detail below</w:t>
      </w:r>
      <w:r w:rsidR="006F5545">
        <w:t>.</w:t>
      </w:r>
      <w:r w:rsidR="00E35C6D">
        <w:t xml:space="preserve"> </w:t>
      </w:r>
    </w:p>
    <w:p w14:paraId="253A59D7" w14:textId="32E0B0BD" w:rsidR="009F7744" w:rsidRPr="009F7744" w:rsidRDefault="009F7744" w:rsidP="00292AC4">
      <w:pPr>
        <w:pStyle w:val="ParaLevel1"/>
        <w:numPr>
          <w:ilvl w:val="0"/>
          <w:numId w:val="0"/>
        </w:numPr>
        <w:rPr>
          <w:b/>
          <w:bCs/>
        </w:rPr>
      </w:pPr>
      <w:r w:rsidRPr="009F7744">
        <w:rPr>
          <w:b/>
          <w:bCs/>
        </w:rPr>
        <w:t>3.The Judge</w:t>
      </w:r>
      <w:r w:rsidR="006F5545">
        <w:rPr>
          <w:b/>
          <w:bCs/>
        </w:rPr>
        <w:t>’</w:t>
      </w:r>
      <w:r w:rsidRPr="009F7744">
        <w:rPr>
          <w:b/>
          <w:bCs/>
        </w:rPr>
        <w:t>s Judgment</w:t>
      </w:r>
    </w:p>
    <w:p w14:paraId="42FB1B2A" w14:textId="2DC28824" w:rsidR="005D5697" w:rsidRDefault="009F7744" w:rsidP="00292AC4">
      <w:pPr>
        <w:pStyle w:val="ParaLevel1"/>
      </w:pPr>
      <w:r>
        <w:t xml:space="preserve">The </w:t>
      </w:r>
      <w:r w:rsidR="009D55B0">
        <w:t>judge identified the evidence called at the hearing. Th</w:t>
      </w:r>
      <w:r w:rsidR="00D67CFC">
        <w:t>is</w:t>
      </w:r>
      <w:r w:rsidR="009D55B0">
        <w:t xml:space="preserve"> included oral evidence from the appellant</w:t>
      </w:r>
      <w:r w:rsidR="006F5545">
        <w:t>.</w:t>
      </w:r>
      <w:r w:rsidR="009D55B0">
        <w:t xml:space="preserve"> </w:t>
      </w:r>
      <w:r w:rsidR="006F5545">
        <w:t xml:space="preserve">The judge found at [13] that the appellant was a fugitive. The judge also </w:t>
      </w:r>
      <w:r w:rsidR="00EF54DF">
        <w:t>received written and oral</w:t>
      </w:r>
      <w:r w:rsidR="009D55B0">
        <w:t xml:space="preserve"> evidence from Mrs </w:t>
      </w:r>
      <w:proofErr w:type="spellStart"/>
      <w:r w:rsidR="009D55B0">
        <w:t>Mandzhukova</w:t>
      </w:r>
      <w:proofErr w:type="spellEnd"/>
      <w:r w:rsidR="009D55B0">
        <w:t>-</w:t>
      </w:r>
      <w:r w:rsidR="00A92531">
        <w:t>Stoyanova, a practising lawyer in Bulgaria</w:t>
      </w:r>
      <w:r w:rsidR="006A4E60">
        <w:t xml:space="preserve"> (“the expert”)</w:t>
      </w:r>
      <w:r w:rsidR="00A92531">
        <w:t>.</w:t>
      </w:r>
      <w:r w:rsidR="00AE2454">
        <w:t xml:space="preserve"> </w:t>
      </w:r>
      <w:r w:rsidR="00245484">
        <w:t xml:space="preserve">There was other evidence relating to other individuals as well, which I address in </w:t>
      </w:r>
      <w:r w:rsidR="002F705F">
        <w:t>greater detail below.</w:t>
      </w:r>
    </w:p>
    <w:p w14:paraId="7CE49CD0" w14:textId="257C6790" w:rsidR="00AE2454" w:rsidRDefault="0014060A" w:rsidP="00292AC4">
      <w:pPr>
        <w:pStyle w:val="ParaLevel1"/>
      </w:pPr>
      <w:r>
        <w:t>In his judgment, t</w:t>
      </w:r>
      <w:r w:rsidR="00AE2454">
        <w:t xml:space="preserve">he judge dealt with the arrangements </w:t>
      </w:r>
      <w:r w:rsidR="00EF54DF">
        <w:t xml:space="preserve">in Bulgaria </w:t>
      </w:r>
      <w:r w:rsidR="00AE2454">
        <w:t xml:space="preserve">as to specialty at [17]-[24]. </w:t>
      </w:r>
      <w:r w:rsidR="00055F46">
        <w:t xml:space="preserve">He summarised the relevant evidence, including the </w:t>
      </w:r>
      <w:r w:rsidR="000D4FA4">
        <w:t>evidence of the expert</w:t>
      </w:r>
      <w:r w:rsidR="00EF54DF">
        <w:t>,</w:t>
      </w:r>
      <w:r w:rsidR="000D4FA4">
        <w:t xml:space="preserve"> and concluded that the principle of specialty exist</w:t>
      </w:r>
      <w:r w:rsidR="002F705F">
        <w:t>ed</w:t>
      </w:r>
      <w:r w:rsidR="000D4FA4">
        <w:t xml:space="preserve"> in Bulgaria and that, although </w:t>
      </w:r>
      <w:r w:rsidR="003A67A7">
        <w:t xml:space="preserve">some </w:t>
      </w:r>
      <w:r w:rsidR="008F4C3A">
        <w:t xml:space="preserve">lawyers and officials </w:t>
      </w:r>
      <w:r w:rsidR="003A67A7">
        <w:t xml:space="preserve">are unaware of its proper use and application, once </w:t>
      </w:r>
      <w:r w:rsidR="008F4C3A">
        <w:t xml:space="preserve">the matter had been </w:t>
      </w:r>
      <w:r w:rsidR="003A67A7">
        <w:t xml:space="preserve">raised, it </w:t>
      </w:r>
      <w:r w:rsidR="008F4C3A">
        <w:t>was generally</w:t>
      </w:r>
      <w:r w:rsidR="003A67A7">
        <w:t xml:space="preserve"> dealt with appropriately. Accordingly the </w:t>
      </w:r>
      <w:r w:rsidR="008F4C3A">
        <w:t xml:space="preserve">judge found that the </w:t>
      </w:r>
      <w:r w:rsidR="003A67A7">
        <w:t>challenge on the ground of specialty failed.</w:t>
      </w:r>
    </w:p>
    <w:p w14:paraId="3954EBCE" w14:textId="4AD5268E" w:rsidR="005D5697" w:rsidRDefault="00B74E81" w:rsidP="00292AC4">
      <w:pPr>
        <w:pStyle w:val="ParaLevel1"/>
      </w:pPr>
      <w:r>
        <w:t xml:space="preserve">As to Article 3, the judge addressed that </w:t>
      </w:r>
      <w:r w:rsidR="008F4C3A">
        <w:t xml:space="preserve">challenge </w:t>
      </w:r>
      <w:r>
        <w:t xml:space="preserve">at [25]-[27]. He referred to the assurance of 26 May 2020 </w:t>
      </w:r>
      <w:r w:rsidR="00E32463">
        <w:t>which</w:t>
      </w:r>
      <w:r>
        <w:t xml:space="preserve"> had been provided</w:t>
      </w:r>
      <w:r w:rsidR="00E32463">
        <w:t xml:space="preserve"> by the respondent</w:t>
      </w:r>
      <w:r w:rsidR="00CA07EC">
        <w:t xml:space="preserve">, which set out the conditions in which the appellant would be </w:t>
      </w:r>
      <w:r w:rsidR="002A74DC">
        <w:t>detained</w:t>
      </w:r>
      <w:r w:rsidR="00CA07EC">
        <w:t xml:space="preserve">. The judge found that the assurance </w:t>
      </w:r>
      <w:r w:rsidR="00925530">
        <w:t>specifically addressed Article 3 compliance</w:t>
      </w:r>
      <w:r w:rsidR="000A58BB">
        <w:t xml:space="preserve"> and that, </w:t>
      </w:r>
      <w:r w:rsidR="002A74DC">
        <w:t>on the basis of</w:t>
      </w:r>
      <w:r w:rsidR="000A58BB">
        <w:t xml:space="preserve"> the assurance offered, the appellant would be </w:t>
      </w:r>
      <w:r w:rsidR="002A74DC">
        <w:t>detained</w:t>
      </w:r>
      <w:r w:rsidR="000A58BB">
        <w:t xml:space="preserve"> in Article 3 compliant conditions.</w:t>
      </w:r>
      <w:r w:rsidR="008F5287">
        <w:t xml:space="preserve"> He</w:t>
      </w:r>
      <w:r w:rsidR="00C86BDF">
        <w:t xml:space="preserve"> concluded that the assurances could be relied on and that, </w:t>
      </w:r>
      <w:r w:rsidR="003D2D17">
        <w:t>in</w:t>
      </w:r>
      <w:r w:rsidR="00C86BDF">
        <w:t xml:space="preserve"> those c</w:t>
      </w:r>
      <w:r w:rsidR="003D2D17">
        <w:t>i</w:t>
      </w:r>
      <w:r w:rsidR="00C86BDF">
        <w:t>rcumstances</w:t>
      </w:r>
      <w:r w:rsidR="00630046">
        <w:t>,</w:t>
      </w:r>
      <w:r w:rsidR="003D2D17">
        <w:t xml:space="preserve"> the Article 3 claim failed.</w:t>
      </w:r>
    </w:p>
    <w:p w14:paraId="29B5D59C" w14:textId="77004D1E" w:rsidR="00EF02B0" w:rsidRDefault="00EF02B0" w:rsidP="00292AC4">
      <w:pPr>
        <w:pStyle w:val="ParaLevel1"/>
      </w:pPr>
      <w:r>
        <w:t xml:space="preserve">There were a number of </w:t>
      </w:r>
      <w:r w:rsidR="002A74DC">
        <w:t xml:space="preserve">other </w:t>
      </w:r>
      <w:r>
        <w:t xml:space="preserve">issues </w:t>
      </w:r>
      <w:r w:rsidR="00630046">
        <w:t>which</w:t>
      </w:r>
      <w:r>
        <w:t xml:space="preserve"> the judge had to address but which do not arise on this appeal.</w:t>
      </w:r>
    </w:p>
    <w:p w14:paraId="79381F96" w14:textId="7426CEA7" w:rsidR="003D2D17" w:rsidRPr="003D2D17" w:rsidRDefault="003D2D17" w:rsidP="00292AC4">
      <w:pPr>
        <w:pStyle w:val="ParaLevel1"/>
        <w:numPr>
          <w:ilvl w:val="0"/>
          <w:numId w:val="0"/>
        </w:numPr>
        <w:rPr>
          <w:b/>
          <w:bCs/>
        </w:rPr>
      </w:pPr>
      <w:r w:rsidRPr="003D2D17">
        <w:rPr>
          <w:b/>
          <w:bCs/>
        </w:rPr>
        <w:t>4.Statutory Framework</w:t>
      </w:r>
    </w:p>
    <w:p w14:paraId="67854323" w14:textId="3537F050" w:rsidR="005D5697" w:rsidRDefault="00A655F4" w:rsidP="00292AC4">
      <w:pPr>
        <w:pStyle w:val="ParaLevel1"/>
      </w:pPr>
      <w:r>
        <w:t>Section 17 of the Act deals with specialty</w:t>
      </w:r>
      <w:r w:rsidR="002A3E8A">
        <w:rPr>
          <w:rStyle w:val="FootnoteReference"/>
        </w:rPr>
        <w:footnoteReference w:id="2"/>
      </w:r>
      <w:r>
        <w:t>. It provides</w:t>
      </w:r>
      <w:r w:rsidR="007B658C">
        <w:t>:</w:t>
      </w:r>
    </w:p>
    <w:p w14:paraId="459A69CF" w14:textId="743016E8" w:rsidR="00CE4C39" w:rsidRPr="00CE4C39" w:rsidRDefault="007B658C" w:rsidP="00292AC4">
      <w:pPr>
        <w:shd w:val="clear" w:color="auto" w:fill="FFFFFF"/>
        <w:spacing w:after="120"/>
        <w:ind w:left="1134"/>
        <w:jc w:val="both"/>
        <w:outlineLvl w:val="3"/>
        <w:rPr>
          <w:b/>
          <w:bCs/>
          <w:color w:val="000000"/>
          <w:lang w:eastAsia="en-GB"/>
        </w:rPr>
      </w:pPr>
      <w:r>
        <w:t>“</w:t>
      </w:r>
      <w:r w:rsidR="00CE4C39" w:rsidRPr="00491937">
        <w:rPr>
          <w:b/>
          <w:bCs/>
          <w:color w:val="000000"/>
          <w:lang w:eastAsia="en-GB"/>
        </w:rPr>
        <w:t>17</w:t>
      </w:r>
      <w:r w:rsidR="002A3E8A">
        <w:rPr>
          <w:b/>
          <w:bCs/>
          <w:color w:val="000000"/>
          <w:lang w:eastAsia="en-GB"/>
        </w:rPr>
        <w:t xml:space="preserve"> </w:t>
      </w:r>
      <w:r w:rsidR="00CE4C39" w:rsidRPr="00CE4C39">
        <w:rPr>
          <w:b/>
          <w:bCs/>
          <w:color w:val="000000"/>
          <w:lang w:eastAsia="en-GB"/>
        </w:rPr>
        <w:t>Speciality</w:t>
      </w:r>
    </w:p>
    <w:p w14:paraId="4FD9FFB1" w14:textId="77777777" w:rsidR="00CE4C39" w:rsidRPr="00CE4C39" w:rsidRDefault="00CE4C39" w:rsidP="00292AC4">
      <w:pPr>
        <w:shd w:val="clear" w:color="auto" w:fill="FFFFFF"/>
        <w:spacing w:after="120"/>
        <w:ind w:left="1134"/>
        <w:jc w:val="both"/>
        <w:rPr>
          <w:color w:val="000000"/>
          <w:lang w:eastAsia="en-GB"/>
        </w:rPr>
      </w:pPr>
      <w:r w:rsidRPr="00CE4C39">
        <w:rPr>
          <w:color w:val="000000"/>
          <w:lang w:eastAsia="en-GB"/>
        </w:rPr>
        <w:t>(1)A person’s extradition to a category 1 territory is barred by reason of speciality if (and only if) there are no speciality arrangements with the category 1 territory.</w:t>
      </w:r>
    </w:p>
    <w:p w14:paraId="79330CCD" w14:textId="77777777" w:rsidR="00CE4C39" w:rsidRPr="00CE4C39" w:rsidRDefault="00CE4C39" w:rsidP="00292AC4">
      <w:pPr>
        <w:shd w:val="clear" w:color="auto" w:fill="FFFFFF"/>
        <w:spacing w:after="120"/>
        <w:ind w:left="1134"/>
        <w:jc w:val="both"/>
        <w:rPr>
          <w:color w:val="000000"/>
          <w:lang w:eastAsia="en-GB"/>
        </w:rPr>
      </w:pPr>
      <w:r w:rsidRPr="00CE4C39">
        <w:rPr>
          <w:color w:val="000000"/>
          <w:lang w:eastAsia="en-GB"/>
        </w:rPr>
        <w:t>(2)There are speciality arrangements with a category 1 territory if, under the law of that territory or arrangements made between it and the United Kingdom, a person who is extradited to the territory from the United Kingdom may be dealt with in the territory for an offence committed before his extradition only if—</w:t>
      </w:r>
    </w:p>
    <w:p w14:paraId="367F1D11" w14:textId="77777777" w:rsidR="00CE4C39" w:rsidRPr="00CE4C39" w:rsidRDefault="00CE4C39" w:rsidP="00292AC4">
      <w:pPr>
        <w:shd w:val="clear" w:color="auto" w:fill="FFFFFF"/>
        <w:spacing w:after="120"/>
        <w:ind w:left="1134" w:firstLine="567"/>
        <w:jc w:val="both"/>
        <w:rPr>
          <w:color w:val="000000"/>
          <w:lang w:eastAsia="en-GB"/>
        </w:rPr>
      </w:pPr>
      <w:r w:rsidRPr="00CE4C39">
        <w:rPr>
          <w:color w:val="000000"/>
          <w:lang w:eastAsia="en-GB"/>
        </w:rPr>
        <w:lastRenderedPageBreak/>
        <w:t>(a)the offence is one falling within subsection (3), or</w:t>
      </w:r>
    </w:p>
    <w:p w14:paraId="458AF41C" w14:textId="77777777" w:rsidR="00CE4C39" w:rsidRPr="00CE4C39" w:rsidRDefault="00CE4C39" w:rsidP="00292AC4">
      <w:pPr>
        <w:shd w:val="clear" w:color="auto" w:fill="FFFFFF"/>
        <w:spacing w:after="120"/>
        <w:ind w:left="981" w:firstLine="720"/>
        <w:jc w:val="both"/>
        <w:rPr>
          <w:color w:val="000000"/>
          <w:lang w:eastAsia="en-GB"/>
        </w:rPr>
      </w:pPr>
      <w:r w:rsidRPr="00CE4C39">
        <w:rPr>
          <w:color w:val="000000"/>
          <w:lang w:eastAsia="en-GB"/>
        </w:rPr>
        <w:t>(b)the condition in subsection (4) is satisfied.</w:t>
      </w:r>
    </w:p>
    <w:p w14:paraId="7EC3B554" w14:textId="77777777" w:rsidR="00CE4C39" w:rsidRPr="00CE4C39" w:rsidRDefault="00CE4C39" w:rsidP="00292AC4">
      <w:pPr>
        <w:shd w:val="clear" w:color="auto" w:fill="FFFFFF"/>
        <w:spacing w:after="120"/>
        <w:ind w:left="567" w:firstLine="567"/>
        <w:jc w:val="both"/>
        <w:rPr>
          <w:color w:val="000000"/>
          <w:lang w:eastAsia="en-GB"/>
        </w:rPr>
      </w:pPr>
      <w:r w:rsidRPr="00CE4C39">
        <w:rPr>
          <w:color w:val="000000"/>
          <w:lang w:eastAsia="en-GB"/>
        </w:rPr>
        <w:t>(3)The offences are—</w:t>
      </w:r>
    </w:p>
    <w:p w14:paraId="35104B95" w14:textId="77777777" w:rsidR="00CE4C39" w:rsidRPr="00CE4C39" w:rsidRDefault="00CE4C39" w:rsidP="00292AC4">
      <w:pPr>
        <w:shd w:val="clear" w:color="auto" w:fill="FFFFFF"/>
        <w:spacing w:after="120"/>
        <w:ind w:left="981" w:firstLine="720"/>
        <w:jc w:val="both"/>
        <w:rPr>
          <w:color w:val="000000"/>
          <w:lang w:eastAsia="en-GB"/>
        </w:rPr>
      </w:pPr>
      <w:r w:rsidRPr="00CE4C39">
        <w:rPr>
          <w:color w:val="000000"/>
          <w:lang w:eastAsia="en-GB"/>
        </w:rPr>
        <w:t>(a)the offence in respect of which the person is extradited;</w:t>
      </w:r>
    </w:p>
    <w:p w14:paraId="4D30548A" w14:textId="77777777" w:rsidR="00CE4C39" w:rsidRPr="00CE4C39" w:rsidRDefault="00CE4C39" w:rsidP="00292AC4">
      <w:pPr>
        <w:shd w:val="clear" w:color="auto" w:fill="FFFFFF"/>
        <w:spacing w:after="120"/>
        <w:ind w:left="981" w:firstLine="720"/>
        <w:jc w:val="both"/>
        <w:rPr>
          <w:color w:val="000000"/>
          <w:lang w:eastAsia="en-GB"/>
        </w:rPr>
      </w:pPr>
      <w:r w:rsidRPr="00CE4C39">
        <w:rPr>
          <w:color w:val="000000"/>
          <w:lang w:eastAsia="en-GB"/>
        </w:rPr>
        <w:t>(b)an extradition offence disclosed by the same facts as that offence;</w:t>
      </w:r>
    </w:p>
    <w:p w14:paraId="522821ED" w14:textId="77777777" w:rsidR="00CE4C39" w:rsidRPr="00CE4C39" w:rsidRDefault="00CE4C39" w:rsidP="00292AC4">
      <w:pPr>
        <w:shd w:val="clear" w:color="auto" w:fill="FFFFFF"/>
        <w:spacing w:after="120"/>
        <w:ind w:left="1701"/>
        <w:jc w:val="both"/>
        <w:rPr>
          <w:color w:val="000000"/>
          <w:lang w:eastAsia="en-GB"/>
        </w:rPr>
      </w:pPr>
      <w:r w:rsidRPr="00CE4C39">
        <w:rPr>
          <w:color w:val="000000"/>
          <w:lang w:eastAsia="en-GB"/>
        </w:rPr>
        <w:t>(c)an extradition offence in respect of which the appropriate judge gives his consent under section 55 to the person being dealt with;</w:t>
      </w:r>
    </w:p>
    <w:p w14:paraId="68AA5B3C" w14:textId="77777777" w:rsidR="00CE4C39" w:rsidRPr="00CE4C39" w:rsidRDefault="00CE4C39" w:rsidP="00292AC4">
      <w:pPr>
        <w:shd w:val="clear" w:color="auto" w:fill="FFFFFF"/>
        <w:spacing w:after="120"/>
        <w:ind w:left="1701"/>
        <w:jc w:val="both"/>
        <w:rPr>
          <w:color w:val="000000"/>
          <w:lang w:eastAsia="en-GB"/>
        </w:rPr>
      </w:pPr>
      <w:r w:rsidRPr="00CE4C39">
        <w:rPr>
          <w:color w:val="000000"/>
          <w:lang w:eastAsia="en-GB"/>
        </w:rPr>
        <w:t>(d)an offence which is not punishable with imprisonment or another form of detention;</w:t>
      </w:r>
    </w:p>
    <w:p w14:paraId="6A7AFA57" w14:textId="77777777" w:rsidR="00CE4C39" w:rsidRPr="00CE4C39" w:rsidRDefault="00CE4C39" w:rsidP="00292AC4">
      <w:pPr>
        <w:shd w:val="clear" w:color="auto" w:fill="FFFFFF"/>
        <w:spacing w:after="120"/>
        <w:ind w:left="1701"/>
        <w:jc w:val="both"/>
        <w:rPr>
          <w:color w:val="000000"/>
          <w:lang w:eastAsia="en-GB"/>
        </w:rPr>
      </w:pPr>
      <w:r w:rsidRPr="00CE4C39">
        <w:rPr>
          <w:color w:val="000000"/>
          <w:lang w:eastAsia="en-GB"/>
        </w:rPr>
        <w:t>(e)an offence in respect of which the person will not be detained in connection with his trial, sentence or appeal;</w:t>
      </w:r>
    </w:p>
    <w:p w14:paraId="0AE2CAE1" w14:textId="77777777" w:rsidR="00CE4C39" w:rsidRPr="00CE4C39" w:rsidRDefault="00CE4C39" w:rsidP="00292AC4">
      <w:pPr>
        <w:shd w:val="clear" w:color="auto" w:fill="FFFFFF"/>
        <w:spacing w:after="120"/>
        <w:ind w:left="1701"/>
        <w:jc w:val="both"/>
        <w:rPr>
          <w:color w:val="000000"/>
          <w:lang w:eastAsia="en-GB"/>
        </w:rPr>
      </w:pPr>
      <w:r w:rsidRPr="00CE4C39">
        <w:rPr>
          <w:color w:val="000000"/>
          <w:lang w:eastAsia="en-GB"/>
        </w:rPr>
        <w:t>(f)an offence in respect of which the person waives the right that he would have (but for this paragraph) not to be dealt with for the offence.</w:t>
      </w:r>
    </w:p>
    <w:p w14:paraId="398DC319" w14:textId="77777777" w:rsidR="00CE4C39" w:rsidRPr="00CE4C39" w:rsidRDefault="00CE4C39" w:rsidP="00292AC4">
      <w:pPr>
        <w:shd w:val="clear" w:color="auto" w:fill="FFFFFF"/>
        <w:spacing w:after="120"/>
        <w:ind w:left="1134"/>
        <w:jc w:val="both"/>
        <w:rPr>
          <w:color w:val="000000"/>
          <w:lang w:eastAsia="en-GB"/>
        </w:rPr>
      </w:pPr>
      <w:r w:rsidRPr="00CE4C39">
        <w:rPr>
          <w:color w:val="000000"/>
          <w:lang w:eastAsia="en-GB"/>
        </w:rPr>
        <w:t>(4)The condition is that the person is given an opportunity to leave the category 1 territory and—</w:t>
      </w:r>
    </w:p>
    <w:p w14:paraId="0E827A1D" w14:textId="77777777" w:rsidR="00CE4C39" w:rsidRPr="00CE4C39" w:rsidRDefault="00CE4C39" w:rsidP="00292AC4">
      <w:pPr>
        <w:shd w:val="clear" w:color="auto" w:fill="FFFFFF"/>
        <w:spacing w:after="120"/>
        <w:ind w:left="981" w:firstLine="720"/>
        <w:jc w:val="both"/>
        <w:rPr>
          <w:color w:val="000000"/>
          <w:lang w:eastAsia="en-GB"/>
        </w:rPr>
      </w:pPr>
      <w:r w:rsidRPr="00CE4C39">
        <w:rPr>
          <w:color w:val="000000"/>
          <w:lang w:eastAsia="en-GB"/>
        </w:rPr>
        <w:t>(a)he does not do so before the end of the permitted period, or</w:t>
      </w:r>
    </w:p>
    <w:p w14:paraId="3E9370D1" w14:textId="77777777" w:rsidR="00CE4C39" w:rsidRPr="00CE4C39" w:rsidRDefault="00CE4C39" w:rsidP="00292AC4">
      <w:pPr>
        <w:shd w:val="clear" w:color="auto" w:fill="FFFFFF"/>
        <w:spacing w:after="120"/>
        <w:ind w:left="1701"/>
        <w:jc w:val="both"/>
        <w:rPr>
          <w:color w:val="000000"/>
          <w:lang w:eastAsia="en-GB"/>
        </w:rPr>
      </w:pPr>
      <w:r w:rsidRPr="00CE4C39">
        <w:rPr>
          <w:color w:val="000000"/>
          <w:lang w:eastAsia="en-GB"/>
        </w:rPr>
        <w:t>(b)if he does so before the end of the permitted period, he returns there.</w:t>
      </w:r>
    </w:p>
    <w:p w14:paraId="5100B30E" w14:textId="7DFE6672" w:rsidR="007B658C" w:rsidRPr="00DF796A" w:rsidRDefault="00CE4C39" w:rsidP="00292AC4">
      <w:pPr>
        <w:shd w:val="clear" w:color="auto" w:fill="FFFFFF"/>
        <w:spacing w:after="120"/>
        <w:ind w:left="1134"/>
        <w:jc w:val="both"/>
        <w:rPr>
          <w:color w:val="000000"/>
          <w:lang w:eastAsia="en-GB"/>
        </w:rPr>
      </w:pPr>
      <w:r w:rsidRPr="00CE4C39">
        <w:rPr>
          <w:color w:val="000000"/>
          <w:lang w:eastAsia="en-GB"/>
        </w:rPr>
        <w:t>(5)The permitted period is 45 days starting with the day on which the person arrives in the category 1 territory</w:t>
      </w:r>
      <w:r w:rsidR="00DF796A">
        <w:rPr>
          <w:color w:val="000000"/>
          <w:lang w:eastAsia="en-GB"/>
        </w:rPr>
        <w:t>…</w:t>
      </w:r>
      <w:r w:rsidR="007B658C">
        <w:t>”</w:t>
      </w:r>
    </w:p>
    <w:p w14:paraId="0A58A855" w14:textId="77777777" w:rsidR="006318CB" w:rsidRDefault="00AD2362" w:rsidP="00292AC4">
      <w:pPr>
        <w:pStyle w:val="ParaLevel1"/>
      </w:pPr>
      <w:r>
        <w:t xml:space="preserve">Article 27 of the </w:t>
      </w:r>
      <w:r w:rsidR="007F3BD2">
        <w:t>Council F</w:t>
      </w:r>
      <w:r>
        <w:t xml:space="preserve">ramework </w:t>
      </w:r>
      <w:r w:rsidR="004C2BEF">
        <w:t>D</w:t>
      </w:r>
      <w:r>
        <w:t xml:space="preserve">ecision </w:t>
      </w:r>
      <w:r w:rsidR="004C2BEF">
        <w:t xml:space="preserve">of 13 June 2002 </w:t>
      </w:r>
      <w:r>
        <w:t>provides that</w:t>
      </w:r>
      <w:r w:rsidR="000D425E">
        <w:t>:</w:t>
      </w:r>
      <w:r w:rsidR="002E7008">
        <w:t xml:space="preserve"> </w:t>
      </w:r>
    </w:p>
    <w:p w14:paraId="0FF5479B" w14:textId="1CBA11FD" w:rsidR="006318CB" w:rsidRDefault="00ED75C5" w:rsidP="00292AC4">
      <w:pPr>
        <w:pStyle w:val="ListParagraph"/>
        <w:autoSpaceDE w:val="0"/>
        <w:autoSpaceDN w:val="0"/>
        <w:adjustRightInd w:val="0"/>
        <w:spacing w:after="0" w:line="240" w:lineRule="auto"/>
        <w:ind w:left="1134" w:right="371"/>
        <w:jc w:val="both"/>
        <w:rPr>
          <w:rFonts w:ascii="TimesNewRoman" w:hAnsi="TimesNewRoman" w:cs="TimesNewRoman"/>
          <w:sz w:val="24"/>
          <w:szCs w:val="24"/>
        </w:rPr>
      </w:pPr>
      <w:r>
        <w:t xml:space="preserve">“1 </w:t>
      </w:r>
      <w:r w:rsidR="006318CB" w:rsidRPr="00A865B4">
        <w:rPr>
          <w:rFonts w:ascii="TimesNewRoman" w:hAnsi="TimesNewRoman" w:cs="TimesNewRoman"/>
          <w:sz w:val="24"/>
          <w:szCs w:val="24"/>
        </w:rPr>
        <w:t>Each Member State may notify the General Secretariat of the Council that, in its relations with other Member States that have given the same notification, consent is presumed to have been given for the prosecution, sentencing or detention with a view to the carrying out of a custodial sentence or detention order for an offence committed prior to his or her surrender, other than that for which he or she was surrendered, unless in a particular case the executing judicial authority states otherwise in its decision on surrender.</w:t>
      </w:r>
    </w:p>
    <w:p w14:paraId="7982DBB0" w14:textId="5CDADC33" w:rsidR="00AD2362" w:rsidRPr="006318CB" w:rsidRDefault="00ED75C5" w:rsidP="00292AC4">
      <w:pPr>
        <w:pStyle w:val="ListParagraph"/>
        <w:autoSpaceDE w:val="0"/>
        <w:autoSpaceDN w:val="0"/>
        <w:adjustRightInd w:val="0"/>
        <w:spacing w:after="0" w:line="240" w:lineRule="auto"/>
        <w:ind w:left="1134" w:right="371"/>
        <w:jc w:val="both"/>
        <w:rPr>
          <w:rFonts w:ascii="TimesNewRoman" w:hAnsi="TimesNewRoman" w:cs="TimesNewRoman"/>
          <w:sz w:val="24"/>
          <w:szCs w:val="24"/>
        </w:rPr>
      </w:pPr>
      <w:r>
        <w:rPr>
          <w:rFonts w:ascii="TimesNewRoman" w:hAnsi="TimesNewRoman" w:cs="TimesNewRoman"/>
          <w:sz w:val="24"/>
          <w:szCs w:val="24"/>
        </w:rPr>
        <w:t xml:space="preserve">2 </w:t>
      </w:r>
      <w:r w:rsidR="006318CB" w:rsidRPr="00A865B4">
        <w:rPr>
          <w:rFonts w:ascii="TimesNewRoman" w:hAnsi="TimesNewRoman" w:cs="TimesNewRoman"/>
          <w:sz w:val="24"/>
          <w:szCs w:val="24"/>
        </w:rPr>
        <w:t>Except in the cases referred to in paragraphs 1 and 3, a person surrendered may not be prosecuted, sentenced or otherwise deprived of his or her liberty for an offence committed prior to his or her surrender other than that for which he or she was surrendered.</w:t>
      </w:r>
      <w:r w:rsidR="006318CB">
        <w:t>”</w:t>
      </w:r>
    </w:p>
    <w:p w14:paraId="6F96950D" w14:textId="533E8A5C" w:rsidR="005D5697" w:rsidRDefault="00AD2362" w:rsidP="00292AC4">
      <w:pPr>
        <w:pStyle w:val="ParaLevel1"/>
      </w:pPr>
      <w:r>
        <w:t>A</w:t>
      </w:r>
      <w:r w:rsidR="00547FAA">
        <w:t xml:space="preserve">rticle 3 of the </w:t>
      </w:r>
      <w:r w:rsidR="00DF796A">
        <w:t>ECHR</w:t>
      </w:r>
      <w:r w:rsidR="00547FAA">
        <w:t xml:space="preserve"> provides that no</w:t>
      </w:r>
      <w:r w:rsidR="008F2985">
        <w:t>-one</w:t>
      </w:r>
      <w:r w:rsidR="00547FAA">
        <w:t xml:space="preserve"> should be subjected to torture </w:t>
      </w:r>
      <w:r w:rsidR="003432C1">
        <w:t xml:space="preserve">or </w:t>
      </w:r>
      <w:r w:rsidR="00547FAA">
        <w:t>inhuman</w:t>
      </w:r>
      <w:r w:rsidR="003432C1">
        <w:t>e</w:t>
      </w:r>
      <w:r w:rsidR="00547FAA">
        <w:t xml:space="preserve"> or degrading </w:t>
      </w:r>
      <w:r w:rsidR="003432C1">
        <w:t>treatment or punishment.</w:t>
      </w:r>
    </w:p>
    <w:p w14:paraId="7C3E9058" w14:textId="1350089D" w:rsidR="005D5697" w:rsidRDefault="006332F2" w:rsidP="00292AC4">
      <w:pPr>
        <w:pStyle w:val="ParaLevel1"/>
      </w:pPr>
      <w:r>
        <w:t>As to the scope of any appeal</w:t>
      </w:r>
      <w:r w:rsidR="00DF796A">
        <w:t xml:space="preserve"> from the judge’s judgment</w:t>
      </w:r>
      <w:r>
        <w:t>, that is set out in Section 27 of the Act as follows:</w:t>
      </w:r>
    </w:p>
    <w:p w14:paraId="07086CE3" w14:textId="41738302" w:rsidR="00226579" w:rsidRPr="00226579" w:rsidRDefault="00B21517" w:rsidP="00292AC4">
      <w:pPr>
        <w:shd w:val="clear" w:color="auto" w:fill="FFFFFF"/>
        <w:spacing w:after="120"/>
        <w:ind w:left="567" w:firstLine="567"/>
        <w:jc w:val="both"/>
        <w:outlineLvl w:val="3"/>
        <w:rPr>
          <w:b/>
          <w:bCs/>
          <w:color w:val="000000"/>
          <w:lang w:eastAsia="en-GB"/>
        </w:rPr>
      </w:pPr>
      <w:r>
        <w:t>“</w:t>
      </w:r>
      <w:r w:rsidR="00226579" w:rsidRPr="00491937">
        <w:rPr>
          <w:b/>
          <w:bCs/>
          <w:color w:val="000000"/>
          <w:lang w:eastAsia="en-GB"/>
        </w:rPr>
        <w:t>27</w:t>
      </w:r>
      <w:r w:rsidR="00EF6C1C">
        <w:rPr>
          <w:b/>
          <w:bCs/>
          <w:color w:val="000000"/>
          <w:lang w:eastAsia="en-GB"/>
        </w:rPr>
        <w:t xml:space="preserve"> </w:t>
      </w:r>
      <w:r w:rsidR="00226579" w:rsidRPr="00226579">
        <w:rPr>
          <w:b/>
          <w:bCs/>
          <w:color w:val="000000"/>
          <w:lang w:eastAsia="en-GB"/>
        </w:rPr>
        <w:t>Court’s powers on appeal under section 26</w:t>
      </w:r>
    </w:p>
    <w:p w14:paraId="69460625" w14:textId="77777777" w:rsidR="00226579" w:rsidRPr="00226579" w:rsidRDefault="00226579" w:rsidP="00292AC4">
      <w:pPr>
        <w:shd w:val="clear" w:color="auto" w:fill="FFFFFF"/>
        <w:spacing w:after="120"/>
        <w:ind w:left="567" w:firstLine="567"/>
        <w:jc w:val="both"/>
        <w:rPr>
          <w:color w:val="000000"/>
          <w:lang w:eastAsia="en-GB"/>
        </w:rPr>
      </w:pPr>
      <w:r w:rsidRPr="00226579">
        <w:rPr>
          <w:color w:val="000000"/>
          <w:lang w:eastAsia="en-GB"/>
        </w:rPr>
        <w:t>(1)On an appeal under section 26 the High Court may—</w:t>
      </w:r>
    </w:p>
    <w:p w14:paraId="3E66B6CC" w14:textId="77777777" w:rsidR="00226579" w:rsidRPr="00226579" w:rsidRDefault="00226579" w:rsidP="00292AC4">
      <w:pPr>
        <w:shd w:val="clear" w:color="auto" w:fill="FFFFFF"/>
        <w:spacing w:after="120"/>
        <w:ind w:left="981" w:firstLine="720"/>
        <w:jc w:val="both"/>
        <w:rPr>
          <w:color w:val="000000"/>
          <w:lang w:eastAsia="en-GB"/>
        </w:rPr>
      </w:pPr>
      <w:r w:rsidRPr="00226579">
        <w:rPr>
          <w:color w:val="000000"/>
          <w:lang w:eastAsia="en-GB"/>
        </w:rPr>
        <w:t>(a)allow the appeal;</w:t>
      </w:r>
    </w:p>
    <w:p w14:paraId="057F8588" w14:textId="77777777" w:rsidR="00226579" w:rsidRPr="00226579" w:rsidRDefault="00226579" w:rsidP="00292AC4">
      <w:pPr>
        <w:shd w:val="clear" w:color="auto" w:fill="FFFFFF"/>
        <w:spacing w:after="120"/>
        <w:ind w:left="981" w:firstLine="720"/>
        <w:jc w:val="both"/>
        <w:rPr>
          <w:color w:val="000000"/>
          <w:lang w:eastAsia="en-GB"/>
        </w:rPr>
      </w:pPr>
      <w:r w:rsidRPr="00226579">
        <w:rPr>
          <w:color w:val="000000"/>
          <w:lang w:eastAsia="en-GB"/>
        </w:rPr>
        <w:t>(b)dismiss the appeal.</w:t>
      </w:r>
    </w:p>
    <w:p w14:paraId="08326895" w14:textId="77777777" w:rsidR="00226579" w:rsidRPr="00226579" w:rsidRDefault="00226579" w:rsidP="00292AC4">
      <w:pPr>
        <w:shd w:val="clear" w:color="auto" w:fill="FFFFFF"/>
        <w:spacing w:after="120"/>
        <w:ind w:left="1134"/>
        <w:jc w:val="both"/>
        <w:rPr>
          <w:color w:val="000000"/>
          <w:lang w:eastAsia="en-GB"/>
        </w:rPr>
      </w:pPr>
      <w:r w:rsidRPr="00226579">
        <w:rPr>
          <w:color w:val="000000"/>
          <w:lang w:eastAsia="en-GB"/>
        </w:rPr>
        <w:lastRenderedPageBreak/>
        <w:t>(2)The court may allow the appeal only if the conditions in subsection (3) or the conditions in subsection (4) are satisfied.</w:t>
      </w:r>
    </w:p>
    <w:p w14:paraId="10E2DC1F" w14:textId="77777777" w:rsidR="00226579" w:rsidRPr="00226579" w:rsidRDefault="00226579" w:rsidP="00292AC4">
      <w:pPr>
        <w:shd w:val="clear" w:color="auto" w:fill="FFFFFF"/>
        <w:spacing w:after="120"/>
        <w:ind w:left="567" w:firstLine="567"/>
        <w:jc w:val="both"/>
        <w:rPr>
          <w:color w:val="000000"/>
          <w:lang w:eastAsia="en-GB"/>
        </w:rPr>
      </w:pPr>
      <w:r w:rsidRPr="00226579">
        <w:rPr>
          <w:color w:val="000000"/>
          <w:lang w:eastAsia="en-GB"/>
        </w:rPr>
        <w:t>(3)The conditions are that—</w:t>
      </w:r>
    </w:p>
    <w:p w14:paraId="6A234961" w14:textId="77777777" w:rsidR="00226579" w:rsidRPr="00226579" w:rsidRDefault="00226579" w:rsidP="00292AC4">
      <w:pPr>
        <w:shd w:val="clear" w:color="auto" w:fill="FFFFFF"/>
        <w:spacing w:after="120"/>
        <w:ind w:left="1701"/>
        <w:jc w:val="both"/>
        <w:rPr>
          <w:color w:val="000000"/>
          <w:lang w:eastAsia="en-GB"/>
        </w:rPr>
      </w:pPr>
      <w:r w:rsidRPr="00226579">
        <w:rPr>
          <w:color w:val="000000"/>
          <w:lang w:eastAsia="en-GB"/>
        </w:rPr>
        <w:t>(a)the appropriate judge ought to have decided a question before him at the extradition hearing differently;</w:t>
      </w:r>
    </w:p>
    <w:p w14:paraId="66C31050" w14:textId="77777777" w:rsidR="00226579" w:rsidRPr="00226579" w:rsidRDefault="00226579" w:rsidP="00292AC4">
      <w:pPr>
        <w:shd w:val="clear" w:color="auto" w:fill="FFFFFF"/>
        <w:spacing w:after="120"/>
        <w:ind w:left="1701"/>
        <w:jc w:val="both"/>
        <w:rPr>
          <w:color w:val="000000"/>
          <w:lang w:eastAsia="en-GB"/>
        </w:rPr>
      </w:pPr>
      <w:r w:rsidRPr="00226579">
        <w:rPr>
          <w:color w:val="000000"/>
          <w:lang w:eastAsia="en-GB"/>
        </w:rPr>
        <w:t>(b)if he had decided the question in the way he ought to have done, he would have been required to order the person’s discharge.</w:t>
      </w:r>
    </w:p>
    <w:p w14:paraId="6455B37D" w14:textId="77777777" w:rsidR="00226579" w:rsidRPr="00226579" w:rsidRDefault="00226579" w:rsidP="00292AC4">
      <w:pPr>
        <w:shd w:val="clear" w:color="auto" w:fill="FFFFFF"/>
        <w:spacing w:after="120"/>
        <w:ind w:left="567" w:firstLine="567"/>
        <w:jc w:val="both"/>
        <w:rPr>
          <w:color w:val="000000"/>
          <w:lang w:eastAsia="en-GB"/>
        </w:rPr>
      </w:pPr>
      <w:r w:rsidRPr="00226579">
        <w:rPr>
          <w:color w:val="000000"/>
          <w:lang w:eastAsia="en-GB"/>
        </w:rPr>
        <w:t>(4)The conditions are that—</w:t>
      </w:r>
    </w:p>
    <w:p w14:paraId="46D3A7DD" w14:textId="77777777" w:rsidR="00226579" w:rsidRPr="00226579" w:rsidRDefault="00226579" w:rsidP="00292AC4">
      <w:pPr>
        <w:shd w:val="clear" w:color="auto" w:fill="FFFFFF"/>
        <w:spacing w:after="120"/>
        <w:ind w:left="1701"/>
        <w:jc w:val="both"/>
        <w:rPr>
          <w:color w:val="000000"/>
          <w:lang w:eastAsia="en-GB"/>
        </w:rPr>
      </w:pPr>
      <w:r w:rsidRPr="00226579">
        <w:rPr>
          <w:color w:val="000000"/>
          <w:lang w:eastAsia="en-GB"/>
        </w:rPr>
        <w:t>(a)an issue is raised that was not raised at the extradition hearing or evidence is available that was not available at the extradition hearing;</w:t>
      </w:r>
    </w:p>
    <w:p w14:paraId="40DBA0E0" w14:textId="77777777" w:rsidR="00226579" w:rsidRPr="00226579" w:rsidRDefault="00226579" w:rsidP="00292AC4">
      <w:pPr>
        <w:shd w:val="clear" w:color="auto" w:fill="FFFFFF"/>
        <w:spacing w:after="120"/>
        <w:ind w:left="1701"/>
        <w:jc w:val="both"/>
        <w:rPr>
          <w:color w:val="000000"/>
          <w:lang w:eastAsia="en-GB"/>
        </w:rPr>
      </w:pPr>
      <w:r w:rsidRPr="00226579">
        <w:rPr>
          <w:color w:val="000000"/>
          <w:lang w:eastAsia="en-GB"/>
        </w:rPr>
        <w:t>(b)the issue or evidence would have resulted in the appropriate judge deciding a question before him at the extradition hearing differently;</w:t>
      </w:r>
    </w:p>
    <w:p w14:paraId="44B7982D" w14:textId="77777777" w:rsidR="00226579" w:rsidRPr="00226579" w:rsidRDefault="00226579" w:rsidP="00292AC4">
      <w:pPr>
        <w:shd w:val="clear" w:color="auto" w:fill="FFFFFF"/>
        <w:spacing w:after="120"/>
        <w:ind w:left="1701"/>
        <w:jc w:val="both"/>
        <w:rPr>
          <w:color w:val="000000"/>
          <w:lang w:eastAsia="en-GB"/>
        </w:rPr>
      </w:pPr>
      <w:r w:rsidRPr="00226579">
        <w:rPr>
          <w:color w:val="000000"/>
          <w:lang w:eastAsia="en-GB"/>
        </w:rPr>
        <w:t>(c)if he had decided the question in that way, he would have been required to order the person’s discharge.</w:t>
      </w:r>
    </w:p>
    <w:p w14:paraId="5255D847" w14:textId="77777777" w:rsidR="00226579" w:rsidRPr="00226579" w:rsidRDefault="00226579" w:rsidP="00292AC4">
      <w:pPr>
        <w:shd w:val="clear" w:color="auto" w:fill="FFFFFF"/>
        <w:spacing w:after="120"/>
        <w:ind w:left="981" w:firstLine="153"/>
        <w:jc w:val="both"/>
        <w:rPr>
          <w:color w:val="000000"/>
          <w:lang w:eastAsia="en-GB"/>
        </w:rPr>
      </w:pPr>
      <w:r w:rsidRPr="00226579">
        <w:rPr>
          <w:color w:val="000000"/>
          <w:lang w:eastAsia="en-GB"/>
        </w:rPr>
        <w:t>(5)If the court allows the appeal it must—</w:t>
      </w:r>
    </w:p>
    <w:p w14:paraId="42570524" w14:textId="77777777" w:rsidR="00226579" w:rsidRPr="00226579" w:rsidRDefault="00226579" w:rsidP="00292AC4">
      <w:pPr>
        <w:shd w:val="clear" w:color="auto" w:fill="FFFFFF"/>
        <w:spacing w:after="120"/>
        <w:ind w:left="1134" w:firstLine="567"/>
        <w:jc w:val="both"/>
        <w:rPr>
          <w:color w:val="000000"/>
          <w:lang w:eastAsia="en-GB"/>
        </w:rPr>
      </w:pPr>
      <w:r w:rsidRPr="00226579">
        <w:rPr>
          <w:color w:val="000000"/>
          <w:lang w:eastAsia="en-GB"/>
        </w:rPr>
        <w:t>(a)order the person’s discharge;</w:t>
      </w:r>
    </w:p>
    <w:p w14:paraId="61F90545" w14:textId="4AE8789A" w:rsidR="00B21517" w:rsidRPr="00226579" w:rsidRDefault="00226579" w:rsidP="00292AC4">
      <w:pPr>
        <w:shd w:val="clear" w:color="auto" w:fill="FFFFFF"/>
        <w:spacing w:after="120"/>
        <w:ind w:left="981" w:firstLine="720"/>
        <w:jc w:val="both"/>
        <w:rPr>
          <w:color w:val="000000"/>
          <w:lang w:eastAsia="en-GB"/>
        </w:rPr>
      </w:pPr>
      <w:r w:rsidRPr="00226579">
        <w:rPr>
          <w:color w:val="000000"/>
          <w:lang w:eastAsia="en-GB"/>
        </w:rPr>
        <w:t>(b)quash the order for his extradition.</w:t>
      </w:r>
      <w:r w:rsidR="00B21517">
        <w:t>”</w:t>
      </w:r>
    </w:p>
    <w:p w14:paraId="03070514" w14:textId="77777777" w:rsidR="00EF6C1C" w:rsidRDefault="00CD4F85" w:rsidP="00292AC4">
      <w:pPr>
        <w:pStyle w:val="ParaLevel1"/>
        <w:numPr>
          <w:ilvl w:val="0"/>
          <w:numId w:val="0"/>
        </w:numPr>
        <w:rPr>
          <w:b/>
          <w:bCs/>
        </w:rPr>
      </w:pPr>
      <w:r w:rsidRPr="00C05D9C">
        <w:rPr>
          <w:b/>
          <w:bCs/>
        </w:rPr>
        <w:t>5.</w:t>
      </w:r>
      <w:r w:rsidR="00DF796A">
        <w:rPr>
          <w:b/>
          <w:bCs/>
        </w:rPr>
        <w:t xml:space="preserve"> </w:t>
      </w:r>
      <w:r w:rsidRPr="00C05D9C">
        <w:rPr>
          <w:b/>
          <w:bCs/>
        </w:rPr>
        <w:t>Ground 1</w:t>
      </w:r>
      <w:r w:rsidR="00C05D9C" w:rsidRPr="00C05D9C">
        <w:rPr>
          <w:b/>
          <w:bCs/>
        </w:rPr>
        <w:t>: Specialty</w:t>
      </w:r>
    </w:p>
    <w:p w14:paraId="34011F29" w14:textId="286802B7" w:rsidR="00442A2C" w:rsidRPr="00EF6C1C" w:rsidRDefault="00F85F13" w:rsidP="00292AC4">
      <w:pPr>
        <w:pStyle w:val="ParaLevel1"/>
        <w:numPr>
          <w:ilvl w:val="0"/>
          <w:numId w:val="0"/>
        </w:numPr>
        <w:rPr>
          <w:b/>
          <w:bCs/>
        </w:rPr>
      </w:pPr>
      <w:r w:rsidRPr="00F85F13">
        <w:rPr>
          <w:i/>
          <w:iCs/>
        </w:rPr>
        <w:t xml:space="preserve">Applicable </w:t>
      </w:r>
      <w:r w:rsidR="00442A2C" w:rsidRPr="00442A2C">
        <w:rPr>
          <w:i/>
          <w:iCs/>
        </w:rPr>
        <w:t>Principles</w:t>
      </w:r>
    </w:p>
    <w:p w14:paraId="3CA49CCF" w14:textId="281D6D75" w:rsidR="005423DE" w:rsidRDefault="00442A2C" w:rsidP="00292AC4">
      <w:pPr>
        <w:pStyle w:val="ParaLevel1"/>
      </w:pPr>
      <w:r>
        <w:t>S</w:t>
      </w:r>
      <w:r w:rsidR="00C05D9C">
        <w:t>pecialty</w:t>
      </w:r>
      <w:r w:rsidR="005423DE">
        <w:t>, as set out in Article 27 of the Framework Decision,</w:t>
      </w:r>
      <w:r w:rsidR="00C05D9C">
        <w:t xml:space="preserve"> is the </w:t>
      </w:r>
      <w:r w:rsidR="003934A3">
        <w:t>rule</w:t>
      </w:r>
      <w:r w:rsidR="00C05D9C">
        <w:t xml:space="preserve"> whereby</w:t>
      </w:r>
      <w:r w:rsidR="002D4D42">
        <w:t xml:space="preserve"> </w:t>
      </w:r>
      <w:r w:rsidR="00C05D9C">
        <w:t xml:space="preserve">a person surrendered under </w:t>
      </w:r>
      <w:r w:rsidR="00DF796A">
        <w:t>a</w:t>
      </w:r>
      <w:r w:rsidR="003934A3">
        <w:t>n</w:t>
      </w:r>
      <w:r w:rsidR="00DF796A">
        <w:t xml:space="preserve"> </w:t>
      </w:r>
      <w:proofErr w:type="spellStart"/>
      <w:r w:rsidR="00C05D9C">
        <w:t>EAW</w:t>
      </w:r>
      <w:proofErr w:type="spellEnd"/>
      <w:r w:rsidR="00C05D9C">
        <w:t xml:space="preserve"> may not be prosecuted</w:t>
      </w:r>
      <w:r w:rsidR="00A30BDA">
        <w:t>, sentenced or otherwise deprived of his or her liberty for an offence committed prior to his or her surrender</w:t>
      </w:r>
      <w:r w:rsidR="00884B6B">
        <w:t>,</w:t>
      </w:r>
      <w:r w:rsidR="00A30BDA">
        <w:t xml:space="preserve"> other than that for which he or she was surrendered.</w:t>
      </w:r>
      <w:r w:rsidR="00FB1897">
        <w:t xml:space="preserve"> Specialty can be infringed in two ways: where the individual is </w:t>
      </w:r>
      <w:r w:rsidR="00884B6B">
        <w:t xml:space="preserve">extradited and then </w:t>
      </w:r>
      <w:r w:rsidR="00FB1897">
        <w:t xml:space="preserve">subjected to unrelated </w:t>
      </w:r>
      <w:r w:rsidR="00884B6B">
        <w:t xml:space="preserve">charges or </w:t>
      </w:r>
      <w:r w:rsidR="00FB1897">
        <w:t>proceedings</w:t>
      </w:r>
      <w:r w:rsidR="008B2316">
        <w:t xml:space="preserve">; </w:t>
      </w:r>
      <w:r w:rsidR="00F65AB4">
        <w:t>or</w:t>
      </w:r>
      <w:r w:rsidR="008B2316">
        <w:t xml:space="preserve"> where the individual is prosecuted for </w:t>
      </w:r>
      <w:r w:rsidR="00CA56E1">
        <w:t xml:space="preserve">enhanced charges based upon the conduct which gave rise to the </w:t>
      </w:r>
      <w:proofErr w:type="spellStart"/>
      <w:r w:rsidR="00CA56E1">
        <w:t>EAW</w:t>
      </w:r>
      <w:proofErr w:type="spellEnd"/>
      <w:r w:rsidR="00CA56E1">
        <w:t xml:space="preserve"> in the first place. It appears that it is the first possibility to which </w:t>
      </w:r>
      <w:r w:rsidR="00F266DF">
        <w:t>Ground 1</w:t>
      </w:r>
      <w:r w:rsidR="00CA56E1">
        <w:t xml:space="preserve"> goes</w:t>
      </w:r>
      <w:r w:rsidR="00884B6B">
        <w:t xml:space="preserve">; there is no suggestion that the </w:t>
      </w:r>
      <w:r w:rsidR="00051E5B">
        <w:t xml:space="preserve">appellant </w:t>
      </w:r>
      <w:r w:rsidR="00365C20">
        <w:t xml:space="preserve">in the present case </w:t>
      </w:r>
      <w:r w:rsidR="00051E5B">
        <w:t>faces enhanced charges arising out of his driving offence</w:t>
      </w:r>
      <w:r w:rsidR="00CA56E1">
        <w:t>.</w:t>
      </w:r>
    </w:p>
    <w:p w14:paraId="2DE5B589" w14:textId="6676EDE3" w:rsidR="00ED19CF" w:rsidRDefault="005423DE" w:rsidP="00292AC4">
      <w:pPr>
        <w:pStyle w:val="ParaLevel1"/>
      </w:pPr>
      <w:r>
        <w:t xml:space="preserve">There are a number of </w:t>
      </w:r>
      <w:r w:rsidR="002972A4">
        <w:t xml:space="preserve">well-established </w:t>
      </w:r>
      <w:r>
        <w:t>principle</w:t>
      </w:r>
      <w:r w:rsidR="002972A4">
        <w:t>s</w:t>
      </w:r>
      <w:r>
        <w:t>:</w:t>
      </w:r>
      <w:r w:rsidR="002972A4">
        <w:t xml:space="preserve"> </w:t>
      </w:r>
    </w:p>
    <w:p w14:paraId="7B91053D" w14:textId="7A5C94FE" w:rsidR="003A0023" w:rsidRDefault="003A0023" w:rsidP="00292AC4">
      <w:pPr>
        <w:pStyle w:val="ParaLevel1"/>
        <w:numPr>
          <w:ilvl w:val="0"/>
          <w:numId w:val="0"/>
        </w:numPr>
        <w:ind w:left="720"/>
      </w:pPr>
      <w:r>
        <w:t>a)</w:t>
      </w:r>
      <w:r w:rsidR="009A2223">
        <w:t xml:space="preserve"> </w:t>
      </w:r>
      <w:r>
        <w:t xml:space="preserve">There is a </w:t>
      </w:r>
      <w:r w:rsidR="00B821F6">
        <w:t xml:space="preserve">strong </w:t>
      </w:r>
      <w:r>
        <w:t xml:space="preserve">presumption that EU </w:t>
      </w:r>
      <w:r w:rsidR="00173D8C">
        <w:t>M</w:t>
      </w:r>
      <w:r>
        <w:t xml:space="preserve">embers </w:t>
      </w:r>
      <w:r w:rsidR="00173D8C">
        <w:t>S</w:t>
      </w:r>
      <w:r>
        <w:t xml:space="preserve">tates will respect specialty rights </w:t>
      </w:r>
      <w:r w:rsidR="00A52795">
        <w:t xml:space="preserve">in accordance with their international obligations: see the judgment of Dyson LJ (as he then was) at [67]-[68] </w:t>
      </w:r>
      <w:r w:rsidR="002877D2">
        <w:t xml:space="preserve">in </w:t>
      </w:r>
      <w:r w:rsidR="002877D2">
        <w:rPr>
          <w:i/>
          <w:iCs/>
        </w:rPr>
        <w:t>Ruiz and others v Central Court of Criminal Proceedin</w:t>
      </w:r>
      <w:r w:rsidR="0044655E">
        <w:rPr>
          <w:i/>
          <w:iCs/>
        </w:rPr>
        <w:t>g</w:t>
      </w:r>
      <w:r w:rsidR="002877D2">
        <w:rPr>
          <w:i/>
          <w:iCs/>
        </w:rPr>
        <w:t>s No</w:t>
      </w:r>
      <w:r w:rsidR="0044655E">
        <w:rPr>
          <w:i/>
          <w:iCs/>
        </w:rPr>
        <w:t>5</w:t>
      </w:r>
      <w:r w:rsidR="00235615">
        <w:rPr>
          <w:i/>
          <w:iCs/>
        </w:rPr>
        <w:t xml:space="preserve"> </w:t>
      </w:r>
      <w:r w:rsidR="0044655E">
        <w:rPr>
          <w:i/>
          <w:iCs/>
        </w:rPr>
        <w:t>of the National Court of Madrid</w:t>
      </w:r>
      <w:r w:rsidR="0044655E">
        <w:t xml:space="preserve"> [</w:t>
      </w:r>
      <w:r w:rsidR="001663ED">
        <w:t>2008] 1</w:t>
      </w:r>
      <w:r w:rsidR="005F510F">
        <w:t xml:space="preserve"> </w:t>
      </w:r>
      <w:r w:rsidR="001663ED">
        <w:t>W</w:t>
      </w:r>
      <w:r w:rsidR="005F510F">
        <w:t>.</w:t>
      </w:r>
      <w:r w:rsidR="001663ED">
        <w:t>L</w:t>
      </w:r>
      <w:r w:rsidR="005F510F">
        <w:t>.</w:t>
      </w:r>
      <w:r w:rsidR="001663ED">
        <w:t>R</w:t>
      </w:r>
      <w:r w:rsidR="005F510F">
        <w:t>.</w:t>
      </w:r>
      <w:r w:rsidR="001663ED">
        <w:t xml:space="preserve"> 2798</w:t>
      </w:r>
      <w:r w:rsidR="00B821F6">
        <w:t xml:space="preserve"> and </w:t>
      </w:r>
      <w:proofErr w:type="spellStart"/>
      <w:r w:rsidR="00B821F6" w:rsidRPr="008B2C21">
        <w:rPr>
          <w:i/>
          <w:iCs/>
        </w:rPr>
        <w:t>Bro</w:t>
      </w:r>
      <w:r w:rsidR="008B2C21" w:rsidRPr="008B2C21">
        <w:rPr>
          <w:i/>
          <w:iCs/>
        </w:rPr>
        <w:t>dziak</w:t>
      </w:r>
      <w:proofErr w:type="spellEnd"/>
      <w:r w:rsidR="008B2C21">
        <w:t xml:space="preserve"> (citation below) at [46]</w:t>
      </w:r>
      <w:r w:rsidR="001663ED">
        <w:t>.</w:t>
      </w:r>
    </w:p>
    <w:p w14:paraId="35E77775" w14:textId="0F907CC3" w:rsidR="00173D8C" w:rsidRDefault="00173D8C" w:rsidP="00292AC4">
      <w:pPr>
        <w:pStyle w:val="ParaLevel1"/>
        <w:numPr>
          <w:ilvl w:val="0"/>
          <w:numId w:val="0"/>
        </w:numPr>
        <w:ind w:left="720"/>
      </w:pPr>
      <w:r>
        <w:t>b)</w:t>
      </w:r>
      <w:r w:rsidRPr="00173D8C">
        <w:t xml:space="preserve"> </w:t>
      </w:r>
      <w:r>
        <w:t xml:space="preserve">Accordingly, this court will presume that the State in question will act in compliance with those obligations unless there is compelling evidence to the contrary: see </w:t>
      </w:r>
      <w:proofErr w:type="spellStart"/>
      <w:r>
        <w:rPr>
          <w:i/>
          <w:iCs/>
        </w:rPr>
        <w:t>Arronategui</w:t>
      </w:r>
      <w:proofErr w:type="spellEnd"/>
      <w:r>
        <w:rPr>
          <w:i/>
          <w:iCs/>
        </w:rPr>
        <w:t xml:space="preserve"> v </w:t>
      </w:r>
      <w:r w:rsidR="005F510F">
        <w:rPr>
          <w:i/>
          <w:iCs/>
        </w:rPr>
        <w:t>1</w:t>
      </w:r>
      <w:r w:rsidR="005F510F" w:rsidRPr="00A16F9E">
        <w:rPr>
          <w:i/>
          <w:iCs/>
          <w:vertAlign w:val="superscript"/>
        </w:rPr>
        <w:t>st</w:t>
      </w:r>
      <w:r w:rsidR="005F510F">
        <w:rPr>
          <w:i/>
          <w:iCs/>
        </w:rPr>
        <w:t>, 2</w:t>
      </w:r>
      <w:r w:rsidR="005F510F" w:rsidRPr="00A16F9E">
        <w:rPr>
          <w:i/>
          <w:iCs/>
          <w:vertAlign w:val="superscript"/>
        </w:rPr>
        <w:t>nd</w:t>
      </w:r>
      <w:r w:rsidR="005F510F">
        <w:rPr>
          <w:i/>
          <w:iCs/>
        </w:rPr>
        <w:t xml:space="preserve">, </w:t>
      </w:r>
      <w:r w:rsidR="00E1150A">
        <w:rPr>
          <w:i/>
          <w:iCs/>
        </w:rPr>
        <w:t>3</w:t>
      </w:r>
      <w:r w:rsidR="00E1150A" w:rsidRPr="00A16F9E">
        <w:rPr>
          <w:i/>
          <w:iCs/>
          <w:vertAlign w:val="superscript"/>
        </w:rPr>
        <w:t>rd</w:t>
      </w:r>
      <w:r w:rsidR="00E1150A">
        <w:rPr>
          <w:i/>
          <w:iCs/>
        </w:rPr>
        <w:t xml:space="preserve"> and 4</w:t>
      </w:r>
      <w:r w:rsidR="00E1150A" w:rsidRPr="00A16F9E">
        <w:rPr>
          <w:i/>
          <w:iCs/>
          <w:vertAlign w:val="superscript"/>
        </w:rPr>
        <w:t>th</w:t>
      </w:r>
      <w:r>
        <w:rPr>
          <w:i/>
          <w:iCs/>
        </w:rPr>
        <w:t xml:space="preserve"> Sections of the National High Court of Madrid, Spain and others</w:t>
      </w:r>
      <w:r>
        <w:t xml:space="preserve"> [2012] </w:t>
      </w:r>
      <w:proofErr w:type="spellStart"/>
      <w:r>
        <w:t>EWHC</w:t>
      </w:r>
      <w:proofErr w:type="spellEnd"/>
      <w:r>
        <w:t xml:space="preserve"> 1170 (Admin) at [47].</w:t>
      </w:r>
    </w:p>
    <w:p w14:paraId="67FFB931" w14:textId="565DFFE7" w:rsidR="002803A5" w:rsidRDefault="001024FD" w:rsidP="00292AC4">
      <w:pPr>
        <w:pStyle w:val="ParaLevel1"/>
        <w:numPr>
          <w:ilvl w:val="0"/>
          <w:numId w:val="0"/>
        </w:numPr>
        <w:ind w:left="720"/>
      </w:pPr>
      <w:r>
        <w:t>c</w:t>
      </w:r>
      <w:r w:rsidR="001F6127">
        <w:t xml:space="preserve">) The court must be satisfied that there are practical and effective arrangements in the requesting territory to ensure that specialty will not be infringed: see </w:t>
      </w:r>
      <w:r w:rsidR="001F6127" w:rsidRPr="00ED19CF">
        <w:rPr>
          <w:i/>
          <w:iCs/>
        </w:rPr>
        <w:t xml:space="preserve">Farid </w:t>
      </w:r>
      <w:proofErr w:type="spellStart"/>
      <w:r w:rsidR="001F6127" w:rsidRPr="00ED19CF">
        <w:rPr>
          <w:i/>
          <w:iCs/>
        </w:rPr>
        <w:t>Hilali</w:t>
      </w:r>
      <w:proofErr w:type="spellEnd"/>
      <w:r w:rsidR="001F6127" w:rsidRPr="00ED19CF">
        <w:rPr>
          <w:i/>
          <w:iCs/>
        </w:rPr>
        <w:t xml:space="preserve"> v </w:t>
      </w:r>
      <w:r w:rsidR="001F6127" w:rsidRPr="00ED19CF">
        <w:rPr>
          <w:i/>
          <w:iCs/>
        </w:rPr>
        <w:lastRenderedPageBreak/>
        <w:t>Central Court of Criminal Proceedings No.5 Madrid</w:t>
      </w:r>
      <w:r w:rsidR="001F6127">
        <w:t xml:space="preserve"> [2006] </w:t>
      </w:r>
      <w:proofErr w:type="spellStart"/>
      <w:r w:rsidR="001F6127">
        <w:t>EWHC</w:t>
      </w:r>
      <w:proofErr w:type="spellEnd"/>
      <w:r w:rsidR="001F6127">
        <w:t xml:space="preserve"> 1239 (Admin) at [46]. </w:t>
      </w:r>
    </w:p>
    <w:p w14:paraId="54F740D9" w14:textId="18334F22" w:rsidR="001F6127" w:rsidRDefault="00B74F36" w:rsidP="00292AC4">
      <w:pPr>
        <w:pStyle w:val="ParaLevel1"/>
        <w:numPr>
          <w:ilvl w:val="0"/>
          <w:numId w:val="0"/>
        </w:numPr>
        <w:ind w:left="720"/>
      </w:pPr>
      <w:r>
        <w:t>d</w:t>
      </w:r>
      <w:r w:rsidR="002803A5">
        <w:t xml:space="preserve">) </w:t>
      </w:r>
      <w:r w:rsidR="001F6127">
        <w:t xml:space="preserve">This primarily goes to </w:t>
      </w:r>
      <w:r w:rsidR="00A4718E">
        <w:t xml:space="preserve">the </w:t>
      </w:r>
      <w:r w:rsidR="008457EB">
        <w:t>substantive law</w:t>
      </w:r>
      <w:r w:rsidR="00A4718E">
        <w:t xml:space="preserve"> operating in the requesting territory</w:t>
      </w:r>
      <w:r w:rsidR="001F6127">
        <w:t xml:space="preserve">. As Scott Baker LJ pointed out at [49] of </w:t>
      </w:r>
      <w:proofErr w:type="spellStart"/>
      <w:r w:rsidR="001F6127" w:rsidRPr="00ED19CF">
        <w:rPr>
          <w:i/>
          <w:iCs/>
        </w:rPr>
        <w:t>Hilali</w:t>
      </w:r>
      <w:proofErr w:type="spellEnd"/>
      <w:r w:rsidR="001F6127" w:rsidRPr="00ED19CF">
        <w:rPr>
          <w:i/>
          <w:iCs/>
        </w:rPr>
        <w:t xml:space="preserve">, </w:t>
      </w:r>
      <w:r w:rsidR="001F6127">
        <w:t xml:space="preserve">the basic question was whether the rule of specialty was catered for in the law of the requesting territory. </w:t>
      </w:r>
      <w:r w:rsidR="00A4718E">
        <w:t xml:space="preserve">The same emphasis was provided by Dyson LJ in </w:t>
      </w:r>
      <w:r w:rsidR="00A4718E" w:rsidRPr="00713F2B">
        <w:rPr>
          <w:i/>
          <w:iCs/>
        </w:rPr>
        <w:t>Ruiz</w:t>
      </w:r>
      <w:r w:rsidR="00A4718E">
        <w:t xml:space="preserve"> </w:t>
      </w:r>
      <w:r w:rsidR="00713F2B">
        <w:t xml:space="preserve">at [67]-[68]. He said that what was important was that </w:t>
      </w:r>
      <w:r w:rsidR="008E106A">
        <w:t xml:space="preserve">Spain </w:t>
      </w:r>
      <w:r>
        <w:t>(the State in question in that case)</w:t>
      </w:r>
      <w:r w:rsidR="00E97119">
        <w:t xml:space="preserve"> </w:t>
      </w:r>
      <w:r w:rsidR="008E106A">
        <w:t>had incorporated the specialty rule into their law</w:t>
      </w:r>
      <w:r w:rsidR="003934A3">
        <w:t>;</w:t>
      </w:r>
      <w:r w:rsidR="008E106A">
        <w:t xml:space="preserve"> </w:t>
      </w:r>
      <w:r w:rsidR="00E44E07">
        <w:t xml:space="preserve">that there was no compelling evidence </w:t>
      </w:r>
      <w:r w:rsidR="00BA033D">
        <w:t>that the Spanish authorities would act in breach</w:t>
      </w:r>
      <w:r w:rsidR="003934A3">
        <w:t xml:space="preserve"> of the rule;</w:t>
      </w:r>
      <w:r w:rsidR="00BA033D">
        <w:t xml:space="preserve"> and that the requested person had a remedy in domestic law.</w:t>
      </w:r>
    </w:p>
    <w:p w14:paraId="49C66192" w14:textId="02C1CB26" w:rsidR="00CA56E1" w:rsidRDefault="00E97119" w:rsidP="00292AC4">
      <w:pPr>
        <w:pStyle w:val="ParaLevel1"/>
        <w:numPr>
          <w:ilvl w:val="0"/>
          <w:numId w:val="0"/>
        </w:numPr>
        <w:ind w:left="720"/>
      </w:pPr>
      <w:r>
        <w:t>e</w:t>
      </w:r>
      <w:r w:rsidR="001663ED">
        <w:t xml:space="preserve">) The burden </w:t>
      </w:r>
      <w:r w:rsidR="0002113B">
        <w:t>i</w:t>
      </w:r>
      <w:r w:rsidR="001663ED">
        <w:t xml:space="preserve">s </w:t>
      </w:r>
      <w:r w:rsidR="0007321F">
        <w:t xml:space="preserve">therefore </w:t>
      </w:r>
      <w:r w:rsidR="001663ED">
        <w:t xml:space="preserve">on the </w:t>
      </w:r>
      <w:r w:rsidR="0002113B">
        <w:t>requested person to show</w:t>
      </w:r>
      <w:r w:rsidR="00CD21A3">
        <w:t xml:space="preserve"> t</w:t>
      </w:r>
      <w:r w:rsidR="0002113B">
        <w:t xml:space="preserve">hat </w:t>
      </w:r>
      <w:r w:rsidR="00FA2D3E">
        <w:t xml:space="preserve">the presumption has been rebutted </w:t>
      </w:r>
      <w:r w:rsidR="0007321F">
        <w:t xml:space="preserve">in the particular case </w:t>
      </w:r>
      <w:r w:rsidR="00FA2D3E">
        <w:t xml:space="preserve">and that </w:t>
      </w:r>
      <w:r w:rsidR="0002113B">
        <w:t xml:space="preserve">appropriate speciality arrangements were not in place: </w:t>
      </w:r>
      <w:proofErr w:type="spellStart"/>
      <w:r w:rsidR="0002113B">
        <w:rPr>
          <w:i/>
          <w:iCs/>
        </w:rPr>
        <w:t>Brodziak</w:t>
      </w:r>
      <w:proofErr w:type="spellEnd"/>
      <w:r w:rsidR="0002113B">
        <w:rPr>
          <w:i/>
          <w:iCs/>
        </w:rPr>
        <w:t xml:space="preserve"> and others v Circuit Court in Warsaw, Poland</w:t>
      </w:r>
      <w:r w:rsidR="009A2223">
        <w:t xml:space="preserve"> [2013] </w:t>
      </w:r>
      <w:proofErr w:type="spellStart"/>
      <w:r w:rsidR="009A2223">
        <w:t>EWHC</w:t>
      </w:r>
      <w:proofErr w:type="spellEnd"/>
      <w:r w:rsidR="009A2223">
        <w:t xml:space="preserve"> 3394 at [42].</w:t>
      </w:r>
      <w:r w:rsidR="00C06786">
        <w:t xml:space="preserve"> </w:t>
      </w:r>
    </w:p>
    <w:p w14:paraId="18190D02" w14:textId="0926B838" w:rsidR="00442A2C" w:rsidRPr="003B246D" w:rsidRDefault="00442A2C" w:rsidP="00292AC4">
      <w:pPr>
        <w:pStyle w:val="ParaLevel1"/>
        <w:numPr>
          <w:ilvl w:val="0"/>
          <w:numId w:val="0"/>
        </w:numPr>
        <w:ind w:left="720" w:hanging="720"/>
        <w:rPr>
          <w:i/>
          <w:iCs/>
        </w:rPr>
      </w:pPr>
      <w:r w:rsidRPr="003B246D">
        <w:rPr>
          <w:i/>
          <w:iCs/>
        </w:rPr>
        <w:t xml:space="preserve">The </w:t>
      </w:r>
      <w:r w:rsidR="006A4E60">
        <w:rPr>
          <w:i/>
          <w:iCs/>
        </w:rPr>
        <w:t>Position in Bulgaria</w:t>
      </w:r>
    </w:p>
    <w:p w14:paraId="34AB1EE8" w14:textId="60B645AF" w:rsidR="00F57575" w:rsidRDefault="00442A2C" w:rsidP="00292AC4">
      <w:pPr>
        <w:pStyle w:val="ParaLevel1"/>
      </w:pPr>
      <w:r>
        <w:t>I</w:t>
      </w:r>
      <w:r w:rsidR="001B5015">
        <w:t>t is common ground that</w:t>
      </w:r>
      <w:r w:rsidR="00236D42">
        <w:t>, in Bulgaria,</w:t>
      </w:r>
      <w:r w:rsidR="001B5015">
        <w:t xml:space="preserve"> A</w:t>
      </w:r>
      <w:r w:rsidR="001C14DC">
        <w:t>rticle</w:t>
      </w:r>
      <w:r w:rsidR="00602D71">
        <w:t>s</w:t>
      </w:r>
      <w:r w:rsidR="001C14DC">
        <w:t xml:space="preserve"> 61</w:t>
      </w:r>
      <w:r w:rsidR="00602D71">
        <w:t xml:space="preserve"> and 62</w:t>
      </w:r>
      <w:r w:rsidR="001C14DC">
        <w:t xml:space="preserve"> of the </w:t>
      </w:r>
      <w:r w:rsidR="00ED3C9C" w:rsidRPr="00CA38C7">
        <w:rPr>
          <w:i/>
          <w:iCs/>
        </w:rPr>
        <w:t xml:space="preserve">Act on the Extradition </w:t>
      </w:r>
      <w:r w:rsidR="00236D42" w:rsidRPr="00CA38C7">
        <w:rPr>
          <w:i/>
          <w:iCs/>
        </w:rPr>
        <w:t>and the European Arrest Warrant</w:t>
      </w:r>
      <w:r w:rsidR="001C14DC">
        <w:t xml:space="preserve"> state expressly that </w:t>
      </w:r>
      <w:r w:rsidR="00603844">
        <w:t>an individual, surrendered on the ground</w:t>
      </w:r>
      <w:r w:rsidR="0075432F">
        <w:t>s</w:t>
      </w:r>
      <w:r w:rsidR="00603844">
        <w:t xml:space="preserve"> of a</w:t>
      </w:r>
      <w:r w:rsidR="0075432F">
        <w:t>n</w:t>
      </w:r>
      <w:r w:rsidR="00603844">
        <w:t xml:space="preserve"> </w:t>
      </w:r>
      <w:proofErr w:type="spellStart"/>
      <w:r w:rsidR="00603844">
        <w:t>EAW</w:t>
      </w:r>
      <w:proofErr w:type="spellEnd"/>
      <w:r w:rsidR="00603844">
        <w:t xml:space="preserve">, cannot be prosecuted, tried or detained in the </w:t>
      </w:r>
      <w:r w:rsidR="00C74449">
        <w:t>R</w:t>
      </w:r>
      <w:r w:rsidR="00603844">
        <w:t xml:space="preserve">epublic of Bulgaria for crime committed before his/her surrender, other than the crime referred to in the </w:t>
      </w:r>
      <w:proofErr w:type="spellStart"/>
      <w:r w:rsidR="00603844">
        <w:t>EAW</w:t>
      </w:r>
      <w:proofErr w:type="spellEnd"/>
      <w:r w:rsidR="00603844">
        <w:t>.</w:t>
      </w:r>
      <w:r w:rsidR="003025A5">
        <w:t xml:space="preserve"> In addition, the expert confirmed in her evidence</w:t>
      </w:r>
      <w:r w:rsidR="00C74449">
        <w:t xml:space="preserve"> that</w:t>
      </w:r>
      <w:r w:rsidR="003025A5">
        <w:t xml:space="preserve">: </w:t>
      </w:r>
    </w:p>
    <w:p w14:paraId="677BD4BF" w14:textId="58CE1B5D" w:rsidR="009A2223" w:rsidRDefault="009A2223" w:rsidP="00292AC4">
      <w:pPr>
        <w:pStyle w:val="ParaLevel1"/>
        <w:numPr>
          <w:ilvl w:val="0"/>
          <w:numId w:val="0"/>
        </w:numPr>
        <w:ind w:left="720"/>
      </w:pPr>
      <w:r>
        <w:t xml:space="preserve">a) </w:t>
      </w:r>
      <w:r w:rsidR="00F8654A">
        <w:t>The principle of speciality was provided for in Bulgarian law</w:t>
      </w:r>
      <w:r w:rsidR="00B761AE">
        <w:t>, a</w:t>
      </w:r>
      <w:r w:rsidR="00F8654A">
        <w:t xml:space="preserve">lthough there were no other legal procedural rules or protocols ensuring the observance of the speciality principle. </w:t>
      </w:r>
    </w:p>
    <w:p w14:paraId="68C0AC5F" w14:textId="72453BD4" w:rsidR="00256A0D" w:rsidRDefault="00F8654A" w:rsidP="00292AC4">
      <w:pPr>
        <w:pStyle w:val="ParaLevel1"/>
        <w:numPr>
          <w:ilvl w:val="0"/>
          <w:numId w:val="0"/>
        </w:numPr>
        <w:ind w:left="720"/>
      </w:pPr>
      <w:r>
        <w:t xml:space="preserve">b) </w:t>
      </w:r>
      <w:r w:rsidR="006C16B9">
        <w:t>Her</w:t>
      </w:r>
      <w:r>
        <w:t xml:space="preserve"> review of the case law revealed 5 cases between 2013 and 2020 in which there had been an initial breach of specialty</w:t>
      </w:r>
      <w:r w:rsidR="00256A0D">
        <w:t xml:space="preserve">. In each case, once the issue had been raised, </w:t>
      </w:r>
      <w:r w:rsidR="00D256BB">
        <w:t>the breach</w:t>
      </w:r>
      <w:r w:rsidR="00256A0D">
        <w:t xml:space="preserve"> was corrected. </w:t>
      </w:r>
    </w:p>
    <w:p w14:paraId="6088126E" w14:textId="36D17211" w:rsidR="00684A8E" w:rsidRPr="00545885" w:rsidRDefault="00684A8E" w:rsidP="00292AC4">
      <w:pPr>
        <w:pStyle w:val="ParaLevel1"/>
        <w:numPr>
          <w:ilvl w:val="0"/>
          <w:numId w:val="0"/>
        </w:numPr>
        <w:rPr>
          <w:i/>
          <w:iCs/>
        </w:rPr>
      </w:pPr>
      <w:r w:rsidRPr="00545885">
        <w:rPr>
          <w:i/>
          <w:iCs/>
        </w:rPr>
        <w:t>The Appellant’s Case</w:t>
      </w:r>
      <w:r w:rsidR="00AE77F1">
        <w:rPr>
          <w:i/>
          <w:iCs/>
        </w:rPr>
        <w:t xml:space="preserve"> on Ground 1</w:t>
      </w:r>
      <w:r w:rsidRPr="00545885">
        <w:rPr>
          <w:i/>
          <w:iCs/>
        </w:rPr>
        <w:t xml:space="preserve">: </w:t>
      </w:r>
      <w:r w:rsidR="00545885" w:rsidRPr="00545885">
        <w:rPr>
          <w:i/>
          <w:iCs/>
        </w:rPr>
        <w:t>General Observation</w:t>
      </w:r>
      <w:r w:rsidR="00A30232">
        <w:rPr>
          <w:i/>
          <w:iCs/>
        </w:rPr>
        <w:t>s</w:t>
      </w:r>
    </w:p>
    <w:p w14:paraId="62E91F29" w14:textId="4287326A" w:rsidR="00EC0036" w:rsidRDefault="006430C5" w:rsidP="00292AC4">
      <w:pPr>
        <w:pStyle w:val="ParaLevel1"/>
      </w:pPr>
      <w:r>
        <w:t xml:space="preserve">Accordingly, before looking at the detail of the appellant’s case on Ground 1, </w:t>
      </w:r>
      <w:r w:rsidR="00297D4B">
        <w:t xml:space="preserve">it must be observed that the appellant’s room for </w:t>
      </w:r>
      <w:r w:rsidR="009D4236">
        <w:t>manoeuvre</w:t>
      </w:r>
      <w:r w:rsidR="00297D4B">
        <w:t xml:space="preserve"> is severely limited. It cannot be said that Bulgaria does not have a </w:t>
      </w:r>
      <w:r w:rsidR="000E6312">
        <w:t>system that recognises specialty</w:t>
      </w:r>
      <w:r w:rsidR="002A4D88">
        <w:t xml:space="preserve"> in principle</w:t>
      </w:r>
      <w:r w:rsidR="009D4236">
        <w:t>: it plainly does</w:t>
      </w:r>
      <w:r w:rsidR="000E6312">
        <w:t>. It cannot be said that it doe</w:t>
      </w:r>
      <w:r w:rsidR="00E209C6">
        <w:t>s</w:t>
      </w:r>
      <w:r w:rsidR="000E6312">
        <w:t xml:space="preserve"> not have a system that recognises specialty in practice</w:t>
      </w:r>
      <w:r w:rsidR="009D4236">
        <w:t>: the evidence is that</w:t>
      </w:r>
      <w:r w:rsidR="00CD4E3C">
        <w:t>, generally,</w:t>
      </w:r>
      <w:r w:rsidR="00C242A2">
        <w:t xml:space="preserve"> if</w:t>
      </w:r>
      <w:r w:rsidR="00CD4E3C">
        <w:t xml:space="preserve"> the </w:t>
      </w:r>
      <w:r w:rsidR="00C9643F">
        <w:t xml:space="preserve">rule </w:t>
      </w:r>
      <w:r w:rsidR="0053561A">
        <w:t>i</w:t>
      </w:r>
      <w:r w:rsidR="00C9643F">
        <w:t>s</w:t>
      </w:r>
      <w:r w:rsidR="005971F7">
        <w:t xml:space="preserve"> missed first time round</w:t>
      </w:r>
      <w:r w:rsidR="00CD4E3C">
        <w:t xml:space="preserve">, </w:t>
      </w:r>
      <w:r w:rsidR="00E428F5">
        <w:t>the situation is resolved subsequently.</w:t>
      </w:r>
      <w:r w:rsidR="000E6312">
        <w:t xml:space="preserve"> </w:t>
      </w:r>
      <w:r w:rsidR="00591C35">
        <w:t xml:space="preserve">The highest the appellant can put it is that, by reference to other cases, specialty arrangements </w:t>
      </w:r>
      <w:r w:rsidR="009E2785">
        <w:t xml:space="preserve">in Bulgaria </w:t>
      </w:r>
      <w:r w:rsidR="00591C35">
        <w:t xml:space="preserve">have not </w:t>
      </w:r>
      <w:r w:rsidR="009E2785">
        <w:t>operated successfully</w:t>
      </w:r>
      <w:r w:rsidR="00551D90">
        <w:t xml:space="preserve"> in every instance</w:t>
      </w:r>
      <w:r w:rsidR="004D63A9">
        <w:t>. There are a number of general points to be made about that.</w:t>
      </w:r>
    </w:p>
    <w:p w14:paraId="61B34335" w14:textId="563CAA3A" w:rsidR="005D5697" w:rsidRDefault="000C5F47" w:rsidP="00292AC4">
      <w:pPr>
        <w:pStyle w:val="ParaLevel1"/>
      </w:pPr>
      <w:r>
        <w:t xml:space="preserve">First, it seems to me that </w:t>
      </w:r>
      <w:r w:rsidR="00865510">
        <w:t xml:space="preserve">such </w:t>
      </w:r>
      <w:r w:rsidR="00245690">
        <w:t>an approach is</w:t>
      </w:r>
      <w:r>
        <w:t xml:space="preserve"> some way removed from the provision</w:t>
      </w:r>
      <w:r w:rsidR="00931367">
        <w:t>s</w:t>
      </w:r>
      <w:r>
        <w:t xml:space="preserve"> of s.17 of the 2003 Act</w:t>
      </w:r>
      <w:r w:rsidR="000F39DD">
        <w:t xml:space="preserve"> or Article 27 of the </w:t>
      </w:r>
      <w:r w:rsidR="00FC3B75">
        <w:t>F</w:t>
      </w:r>
      <w:r w:rsidR="000F39DD">
        <w:t xml:space="preserve">ramework </w:t>
      </w:r>
      <w:r w:rsidR="00FC3B75">
        <w:t>D</w:t>
      </w:r>
      <w:r w:rsidR="000F39DD">
        <w:t>ecision</w:t>
      </w:r>
      <w:r>
        <w:t>.</w:t>
      </w:r>
      <w:r w:rsidR="00F763CD">
        <w:t xml:space="preserve"> </w:t>
      </w:r>
      <w:r w:rsidR="00CD1D9A">
        <w:t xml:space="preserve">Since </w:t>
      </w:r>
      <w:r w:rsidR="00F763CD">
        <w:t xml:space="preserve">the requesting territory </w:t>
      </w:r>
      <w:r w:rsidR="00FC3B75">
        <w:t xml:space="preserve">in this case </w:t>
      </w:r>
      <w:r w:rsidR="00F763CD">
        <w:t>recognises specialty</w:t>
      </w:r>
      <w:r w:rsidR="00CD1D9A">
        <w:t xml:space="preserve">, </w:t>
      </w:r>
      <w:r w:rsidR="00A0332C">
        <w:t>it would only be if there was some compelling evidence</w:t>
      </w:r>
      <w:r w:rsidR="00925B80">
        <w:t xml:space="preserve"> that </w:t>
      </w:r>
      <w:r w:rsidR="00A0332C">
        <w:t xml:space="preserve">the </w:t>
      </w:r>
      <w:r w:rsidR="00583CF0">
        <w:t xml:space="preserve">requesting authorities were likely to use the </w:t>
      </w:r>
      <w:proofErr w:type="spellStart"/>
      <w:r w:rsidR="00583CF0">
        <w:t>EAW</w:t>
      </w:r>
      <w:proofErr w:type="spellEnd"/>
      <w:r w:rsidR="00583CF0">
        <w:t xml:space="preserve"> and the extradition </w:t>
      </w:r>
      <w:r w:rsidR="00AC79EC">
        <w:t xml:space="preserve">in this case </w:t>
      </w:r>
      <w:r w:rsidR="00583CF0">
        <w:t xml:space="preserve">to charge </w:t>
      </w:r>
      <w:r w:rsidR="00FC3B75">
        <w:t>th</w:t>
      </w:r>
      <w:r w:rsidR="00AC79EC">
        <w:t>is</w:t>
      </w:r>
      <w:r w:rsidR="00FC3B75">
        <w:t xml:space="preserve"> appellant</w:t>
      </w:r>
      <w:r w:rsidR="00583CF0">
        <w:t xml:space="preserve"> with a</w:t>
      </w:r>
      <w:r w:rsidR="002724E8">
        <w:t>n</w:t>
      </w:r>
      <w:r w:rsidR="00583CF0">
        <w:t>other offence</w:t>
      </w:r>
      <w:r w:rsidR="002724E8">
        <w:t xml:space="preserve"> or offences</w:t>
      </w:r>
      <w:r w:rsidR="00583CF0">
        <w:t xml:space="preserve"> </w:t>
      </w:r>
      <w:r w:rsidR="00AC79EC">
        <w:t xml:space="preserve">on his return </w:t>
      </w:r>
      <w:r w:rsidR="00583CF0">
        <w:t xml:space="preserve">that </w:t>
      </w:r>
      <w:r w:rsidR="00D45E27">
        <w:t>s.17 comes into play. There is no such evidence here.</w:t>
      </w:r>
    </w:p>
    <w:p w14:paraId="5E7B751B" w14:textId="01E660E9" w:rsidR="00925B80" w:rsidRDefault="00925B80" w:rsidP="00292AC4">
      <w:pPr>
        <w:pStyle w:val="ParaLevel1"/>
      </w:pPr>
      <w:r>
        <w:lastRenderedPageBreak/>
        <w:t>Secondly, it seems to me that combing through other cases in the past</w:t>
      </w:r>
      <w:r w:rsidR="00AC79EC">
        <w:t>,</w:t>
      </w:r>
      <w:r>
        <w:t xml:space="preserve"> where there may or may not have been a</w:t>
      </w:r>
      <w:r w:rsidR="00A257EE">
        <w:t>n initial</w:t>
      </w:r>
      <w:r>
        <w:t xml:space="preserve"> breach of the specialty arrangements in Bulgaria</w:t>
      </w:r>
      <w:r w:rsidR="00A257EE">
        <w:t>, in order</w:t>
      </w:r>
      <w:r w:rsidR="004B027F">
        <w:t xml:space="preserve"> to say that</w:t>
      </w:r>
      <w:r w:rsidR="00A257EE">
        <w:t xml:space="preserve"> </w:t>
      </w:r>
      <w:r w:rsidR="004B027F">
        <w:t xml:space="preserve">these cases show that Bulgaria is unlikely to comply with </w:t>
      </w:r>
      <w:r w:rsidR="000F39DD">
        <w:t xml:space="preserve">Article 27 of the </w:t>
      </w:r>
      <w:r w:rsidR="00A257EE">
        <w:t>F</w:t>
      </w:r>
      <w:r w:rsidR="000F39DD">
        <w:t xml:space="preserve">ramework </w:t>
      </w:r>
      <w:r w:rsidR="00A257EE">
        <w:t>D</w:t>
      </w:r>
      <w:r w:rsidR="000F39DD">
        <w:t>ecision</w:t>
      </w:r>
      <w:r w:rsidR="00A257EE">
        <w:t>,</w:t>
      </w:r>
      <w:r w:rsidR="000F39DD">
        <w:t xml:space="preserve"> is </w:t>
      </w:r>
      <w:r w:rsidR="0057188E">
        <w:t xml:space="preserve">an </w:t>
      </w:r>
      <w:r w:rsidR="008E7E3B">
        <w:t xml:space="preserve">inherently </w:t>
      </w:r>
      <w:r w:rsidR="0057188E">
        <w:t xml:space="preserve">unsatisfactory </w:t>
      </w:r>
      <w:r w:rsidR="008E7E3B">
        <w:t>line of attack</w:t>
      </w:r>
      <w:r w:rsidR="00C27958">
        <w:t xml:space="preserve">. </w:t>
      </w:r>
      <w:r w:rsidR="00A257EE">
        <w:t xml:space="preserve">No </w:t>
      </w:r>
      <w:r w:rsidR="00EC4ECB">
        <w:t xml:space="preserve">legal </w:t>
      </w:r>
      <w:r w:rsidR="00A257EE">
        <w:t xml:space="preserve">system is ever perfect, and it is quite wrong to </w:t>
      </w:r>
      <w:r w:rsidR="001028C1">
        <w:t>a</w:t>
      </w:r>
      <w:r w:rsidR="0057188E">
        <w:t>pply</w:t>
      </w:r>
      <w:r w:rsidR="001028C1">
        <w:t xml:space="preserve"> s.17 </w:t>
      </w:r>
      <w:r w:rsidR="00987755">
        <w:t>on the basis that</w:t>
      </w:r>
      <w:r w:rsidR="00EC4ECB">
        <w:t xml:space="preserve"> the Bulgarian legal system </w:t>
      </w:r>
      <w:r w:rsidR="005515D2">
        <w:t>may not be</w:t>
      </w:r>
      <w:r w:rsidR="00AE7D0B">
        <w:t>.</w:t>
      </w:r>
      <w:r w:rsidR="00EC4ECB">
        <w:t xml:space="preserve"> </w:t>
      </w:r>
    </w:p>
    <w:p w14:paraId="1B2228AC" w14:textId="0EAE1D77" w:rsidR="00D45E27" w:rsidRDefault="003F49B2" w:rsidP="00292AC4">
      <w:pPr>
        <w:pStyle w:val="ParaLevel1"/>
      </w:pPr>
      <w:r>
        <w:t>As</w:t>
      </w:r>
      <w:r w:rsidR="00D45E27">
        <w:t xml:space="preserve"> a matter of principle, </w:t>
      </w:r>
      <w:r w:rsidR="00BC50FC">
        <w:t xml:space="preserve">therefore, </w:t>
      </w:r>
      <w:r w:rsidR="00D45E27">
        <w:t xml:space="preserve">it </w:t>
      </w:r>
      <w:r w:rsidR="00DD5F65">
        <w:t>goes</w:t>
      </w:r>
      <w:r w:rsidR="00802F4E">
        <w:t xml:space="preserve"> much</w:t>
      </w:r>
      <w:r w:rsidR="00DD5F65">
        <w:t xml:space="preserve"> too far</w:t>
      </w:r>
      <w:r w:rsidR="00D45E27">
        <w:t xml:space="preserve"> to suggest that, because </w:t>
      </w:r>
      <w:r w:rsidR="009B6FA0">
        <w:t xml:space="preserve">a) </w:t>
      </w:r>
      <w:r w:rsidR="00D45E27">
        <w:t>there is evidence that other</w:t>
      </w:r>
      <w:r w:rsidR="00853BD4">
        <w:t>s</w:t>
      </w:r>
      <w:r w:rsidR="00D45E27">
        <w:t xml:space="preserve">, following their extradition to Bulgaria, have had to point out </w:t>
      </w:r>
      <w:r>
        <w:t xml:space="preserve">to their lawyers or the authorities </w:t>
      </w:r>
      <w:r w:rsidR="00D45E27">
        <w:t xml:space="preserve">that they cannot be charged </w:t>
      </w:r>
      <w:r w:rsidR="00853BD4">
        <w:t xml:space="preserve">for </w:t>
      </w:r>
      <w:r w:rsidR="00D45E27">
        <w:t>offences</w:t>
      </w:r>
      <w:r w:rsidR="00112211">
        <w:t xml:space="preserve"> other than those for which they have been extradited</w:t>
      </w:r>
      <w:r w:rsidR="009B6FA0">
        <w:t>;</w:t>
      </w:r>
      <w:r w:rsidR="00D45E27">
        <w:t xml:space="preserve"> </w:t>
      </w:r>
      <w:r w:rsidR="005A48B5">
        <w:t xml:space="preserve">and </w:t>
      </w:r>
      <w:r w:rsidR="009B6FA0">
        <w:t xml:space="preserve">b) </w:t>
      </w:r>
      <w:r w:rsidR="005A48B5">
        <w:t xml:space="preserve">some instances where </w:t>
      </w:r>
      <w:r w:rsidR="00387A55">
        <w:t xml:space="preserve">the </w:t>
      </w:r>
      <w:r w:rsidR="005A48B5">
        <w:t xml:space="preserve">specialty </w:t>
      </w:r>
      <w:r w:rsidR="00387A55">
        <w:t xml:space="preserve">principle </w:t>
      </w:r>
      <w:r w:rsidR="005A48B5">
        <w:t>may have been breached</w:t>
      </w:r>
      <w:r w:rsidR="001721E5">
        <w:t xml:space="preserve">, </w:t>
      </w:r>
      <w:r w:rsidR="00D45E27">
        <w:t xml:space="preserve">there </w:t>
      </w:r>
      <w:r w:rsidR="00A40C69">
        <w:t>is likely to be a breach</w:t>
      </w:r>
      <w:r w:rsidR="00D45E27">
        <w:t xml:space="preserve"> of s.17</w:t>
      </w:r>
      <w:r w:rsidR="00A40C69">
        <w:t xml:space="preserve"> in this case</w:t>
      </w:r>
      <w:r w:rsidR="00D74B21">
        <w:t xml:space="preserve">. In all </w:t>
      </w:r>
      <w:r w:rsidR="00DD3215">
        <w:t>States</w:t>
      </w:r>
      <w:r w:rsidR="00D74B21">
        <w:t xml:space="preserve"> which recognise specialty, there will be glitches</w:t>
      </w:r>
      <w:r w:rsidR="00112211">
        <w:t>:</w:t>
      </w:r>
      <w:r w:rsidR="00D74B21">
        <w:t xml:space="preserve"> cases which fall through the system. Indeed, I note that there is at least one case in this juri</w:t>
      </w:r>
      <w:r w:rsidR="00693FA3">
        <w:t xml:space="preserve">sdiction where that happened: see </w:t>
      </w:r>
      <w:r w:rsidR="00693FA3">
        <w:rPr>
          <w:i/>
          <w:iCs/>
        </w:rPr>
        <w:t>R v Jack Shepherd</w:t>
      </w:r>
      <w:r w:rsidR="00693FA3">
        <w:t xml:space="preserve"> [2019] </w:t>
      </w:r>
      <w:proofErr w:type="spellStart"/>
      <w:r w:rsidR="00693FA3">
        <w:t>EWC</w:t>
      </w:r>
      <w:r w:rsidR="00823F14">
        <w:t>A</w:t>
      </w:r>
      <w:proofErr w:type="spellEnd"/>
      <w:r w:rsidR="00823F14">
        <w:t xml:space="preserve"> Crim 1062. </w:t>
      </w:r>
    </w:p>
    <w:p w14:paraId="167B47A3" w14:textId="34420AC5" w:rsidR="00C44B88" w:rsidRDefault="00E435D2" w:rsidP="00292AC4">
      <w:pPr>
        <w:pStyle w:val="ParaLevel1"/>
      </w:pPr>
      <w:r>
        <w:t>Th</w:t>
      </w:r>
      <w:r w:rsidR="008D1596">
        <w:t>irdly, th</w:t>
      </w:r>
      <w:r>
        <w:t>e highest that the expert was able to put</w:t>
      </w:r>
      <w:r w:rsidR="001721E5">
        <w:t xml:space="preserve"> it</w:t>
      </w:r>
      <w:r>
        <w:t xml:space="preserve"> in her report w</w:t>
      </w:r>
      <w:r w:rsidR="001721E5">
        <w:t>as</w:t>
      </w:r>
      <w:r>
        <w:t xml:space="preserve"> that, du</w:t>
      </w:r>
      <w:r w:rsidR="003B466F">
        <w:t>r</w:t>
      </w:r>
      <w:r>
        <w:t>ing the period 2013-2020 (7 years</w:t>
      </w:r>
      <w:r w:rsidR="00553E3F">
        <w:t xml:space="preserve">), she found </w:t>
      </w:r>
      <w:r w:rsidR="00772353">
        <w:t xml:space="preserve">in the caselaw </w:t>
      </w:r>
      <w:r w:rsidR="00553E3F">
        <w:t xml:space="preserve">a total of </w:t>
      </w:r>
      <w:r w:rsidR="00743DFB">
        <w:t>five</w:t>
      </w:r>
      <w:r w:rsidR="00553E3F">
        <w:t xml:space="preserve"> judicial acts where there was a possible breach of </w:t>
      </w:r>
      <w:r w:rsidR="001002E1">
        <w:t xml:space="preserve">the </w:t>
      </w:r>
      <w:r w:rsidR="00553E3F">
        <w:t xml:space="preserve">specialty </w:t>
      </w:r>
      <w:r w:rsidR="001002E1">
        <w:t>rule</w:t>
      </w:r>
      <w:r w:rsidR="00553E3F">
        <w:t xml:space="preserve">. </w:t>
      </w:r>
      <w:r w:rsidR="002F3895">
        <w:t xml:space="preserve">Her suggestion </w:t>
      </w:r>
      <w:r w:rsidR="00E07C8A">
        <w:t>(in para. 6.4(a)) t</w:t>
      </w:r>
      <w:r w:rsidR="002F3895">
        <w:t>hat the</w:t>
      </w:r>
      <w:r w:rsidR="00E07C8A">
        <w:t xml:space="preserve"> number of violations might be much higher, was a matter of speculation, to which no significant weight could be attached in any event.</w:t>
      </w:r>
      <w:r w:rsidR="002F3895">
        <w:t xml:space="preserve"> </w:t>
      </w:r>
      <w:r w:rsidR="00553E3F">
        <w:t xml:space="preserve">It cannot be said that </w:t>
      </w:r>
      <w:r w:rsidR="00A30232">
        <w:t xml:space="preserve">less than </w:t>
      </w:r>
      <w:r w:rsidR="00553E3F">
        <w:t>one possible breach an</w:t>
      </w:r>
      <w:r w:rsidR="00AE3AAB">
        <w:t>nually of th</w:t>
      </w:r>
      <w:r w:rsidR="00772353">
        <w:t xml:space="preserve">e </w:t>
      </w:r>
      <w:r w:rsidR="001002E1">
        <w:t>rule</w:t>
      </w:r>
      <w:r w:rsidR="00AE3AAB">
        <w:t xml:space="preserve"> means that </w:t>
      </w:r>
      <w:r w:rsidR="001002E1">
        <w:t xml:space="preserve">this court should find a likely breach of </w:t>
      </w:r>
      <w:r w:rsidR="00AE3AAB">
        <w:t>s.17</w:t>
      </w:r>
      <w:r w:rsidR="002A4125">
        <w:t xml:space="preserve">. </w:t>
      </w:r>
      <w:r w:rsidR="00772353">
        <w:t>That is</w:t>
      </w:r>
      <w:r w:rsidR="00112211">
        <w:t xml:space="preserve"> </w:t>
      </w:r>
      <w:r w:rsidR="009773D7">
        <w:t xml:space="preserve">emphatically </w:t>
      </w:r>
      <w:r w:rsidR="00112211">
        <w:t xml:space="preserve">not what Scott Baker LJ in </w:t>
      </w:r>
      <w:proofErr w:type="spellStart"/>
      <w:r w:rsidR="00112211">
        <w:rPr>
          <w:i/>
          <w:iCs/>
        </w:rPr>
        <w:t>Hilali</w:t>
      </w:r>
      <w:proofErr w:type="spellEnd"/>
      <w:r w:rsidR="005211EF">
        <w:t xml:space="preserve"> or Dyson LJ in </w:t>
      </w:r>
      <w:r w:rsidR="005211EF" w:rsidRPr="005211EF">
        <w:rPr>
          <w:i/>
          <w:iCs/>
        </w:rPr>
        <w:t>Ruiz</w:t>
      </w:r>
      <w:r w:rsidR="009A3DBD">
        <w:t xml:space="preserve"> had in mind.</w:t>
      </w:r>
      <w:r w:rsidR="00B75524">
        <w:t xml:space="preserve"> </w:t>
      </w:r>
      <w:r w:rsidR="008B744E">
        <w:t xml:space="preserve">The same is also true of the criticism that the Bulgarian system is inadequate because there are instances where the breach of the speciality rule was only remedied on appeal. Dyson LJ in </w:t>
      </w:r>
      <w:r w:rsidR="008B744E">
        <w:rPr>
          <w:i/>
          <w:iCs/>
        </w:rPr>
        <w:t>Ruiz</w:t>
      </w:r>
      <w:r w:rsidR="008B744E">
        <w:t xml:space="preserve"> was emphatic that the fact that there was a remedy in the event of a breach was an important element of the system.</w:t>
      </w:r>
    </w:p>
    <w:p w14:paraId="572AF568" w14:textId="7B463241" w:rsidR="000D7003" w:rsidRDefault="008D1596" w:rsidP="00292AC4">
      <w:pPr>
        <w:pStyle w:val="ParaLevel1"/>
      </w:pPr>
      <w:r>
        <w:t>F</w:t>
      </w:r>
      <w:r w:rsidR="00F71D50">
        <w:t xml:space="preserve">inally, and perhaps most important of all, </w:t>
      </w:r>
      <w:r>
        <w:t>t</w:t>
      </w:r>
      <w:r w:rsidR="000D7003">
        <w:t>here is a</w:t>
      </w:r>
      <w:r w:rsidR="006614F6">
        <w:t>n underlying</w:t>
      </w:r>
      <w:r w:rsidR="000D7003">
        <w:t xml:space="preserve"> </w:t>
      </w:r>
      <w:r w:rsidR="002F4721">
        <w:t xml:space="preserve">sense of unreality about the </w:t>
      </w:r>
      <w:r w:rsidR="00FD7B8B">
        <w:t xml:space="preserve">appellant’s </w:t>
      </w:r>
      <w:r w:rsidR="002F4721">
        <w:t>specialty argument</w:t>
      </w:r>
      <w:r w:rsidR="00FD7B8B">
        <w:t xml:space="preserve"> on the facts of this case</w:t>
      </w:r>
      <w:r w:rsidR="002F4721">
        <w:t xml:space="preserve">. If extradited, the appellant will not face a trial: he will simply serve the sentence </w:t>
      </w:r>
      <w:r w:rsidR="00EA1824">
        <w:t>lawfully</w:t>
      </w:r>
      <w:r w:rsidR="002F4721">
        <w:t xml:space="preserve"> imposed</w:t>
      </w:r>
      <w:r w:rsidR="00D4445F">
        <w:t xml:space="preserve"> some years ago</w:t>
      </w:r>
      <w:r w:rsidR="002F4721">
        <w:t xml:space="preserve">. </w:t>
      </w:r>
      <w:r w:rsidR="005211EF">
        <w:t xml:space="preserve"> </w:t>
      </w:r>
      <w:r w:rsidR="00EA1824">
        <w:t xml:space="preserve">There is </w:t>
      </w:r>
      <w:r w:rsidR="00807A68">
        <w:t>no suggestion of anything which could be aggregated</w:t>
      </w:r>
      <w:r w:rsidR="00020879">
        <w:t xml:space="preserve"> or of any allegations which might give rise to a </w:t>
      </w:r>
      <w:r w:rsidR="00687799">
        <w:t xml:space="preserve">separate </w:t>
      </w:r>
      <w:r w:rsidR="00020879">
        <w:t>prosecution</w:t>
      </w:r>
      <w:r w:rsidR="00785A0B">
        <w:t xml:space="preserve">. Neither the appellant nor the </w:t>
      </w:r>
      <w:r w:rsidR="00B76585">
        <w:t>respondent ha</w:t>
      </w:r>
      <w:r w:rsidR="00020879">
        <w:t>ve</w:t>
      </w:r>
      <w:r w:rsidR="00B76585">
        <w:t xml:space="preserve"> even hinted that there could be</w:t>
      </w:r>
      <w:r w:rsidR="00807A68">
        <w:t>.</w:t>
      </w:r>
    </w:p>
    <w:p w14:paraId="44BAFDA0" w14:textId="61604218" w:rsidR="00B76585" w:rsidRDefault="008B744E" w:rsidP="00292AC4">
      <w:pPr>
        <w:pStyle w:val="ParaLevel1"/>
      </w:pPr>
      <w:r>
        <w:t xml:space="preserve">This is a fundamental weakness in the appellant’s case on specialty. As Mr Owen fairly accepted, there were no authorities that anyone could find where a requested person had avoided extradition on the basis of a </w:t>
      </w:r>
      <w:r w:rsidR="00784D85">
        <w:t>hypothetical</w:t>
      </w:r>
      <w:r>
        <w:t xml:space="preserve"> breach of the speciality rule. The closest the authorities come is </w:t>
      </w:r>
      <w:proofErr w:type="spellStart"/>
      <w:r>
        <w:rPr>
          <w:i/>
          <w:iCs/>
        </w:rPr>
        <w:t>Brodziak</w:t>
      </w:r>
      <w:proofErr w:type="spellEnd"/>
      <w:r w:rsidR="00D9464D">
        <w:t xml:space="preserve">, </w:t>
      </w:r>
      <w:r>
        <w:t>where there was an issue about aggregation</w:t>
      </w:r>
      <w:r w:rsidR="00BC14E9">
        <w:t>.</w:t>
      </w:r>
      <w:r>
        <w:t xml:space="preserve"> It was not </w:t>
      </w:r>
      <w:r w:rsidR="00D9464D">
        <w:t xml:space="preserve">a </w:t>
      </w:r>
      <w:r>
        <w:t xml:space="preserve">theoretical </w:t>
      </w:r>
      <w:r w:rsidR="00D9464D">
        <w:t xml:space="preserve">issue </w:t>
      </w:r>
      <w:r>
        <w:t>at all</w:t>
      </w:r>
      <w:r w:rsidR="00BC14E9">
        <w:t>, but</w:t>
      </w:r>
      <w:r>
        <w:t xml:space="preserve"> a point </w:t>
      </w:r>
      <w:r w:rsidR="00BC14E9">
        <w:t>which arose on the particular facts of that case</w:t>
      </w:r>
      <w:r w:rsidR="00344D4F">
        <w:t>.</w:t>
      </w:r>
      <w:r>
        <w:t xml:space="preserve"> </w:t>
      </w:r>
      <w:r w:rsidR="00344D4F">
        <w:t>In any event, e</w:t>
      </w:r>
      <w:r w:rsidR="00217706">
        <w:t xml:space="preserve">xtradition was </w:t>
      </w:r>
      <w:r w:rsidR="00E03006">
        <w:t>ordered in that case</w:t>
      </w:r>
      <w:r w:rsidR="00217706">
        <w:t xml:space="preserve">, </w:t>
      </w:r>
      <w:r w:rsidR="00244C0A">
        <w:t>partly because specialty was part of the Polish legal system.</w:t>
      </w:r>
    </w:p>
    <w:p w14:paraId="103212B1" w14:textId="33DA79A1" w:rsidR="005211EF" w:rsidRDefault="00D84C38" w:rsidP="00292AC4">
      <w:pPr>
        <w:pStyle w:val="ParaLevel1"/>
      </w:pPr>
      <w:r>
        <w:t xml:space="preserve">In one way, this chimes with Mr Hines’ submission that, by reference to </w:t>
      </w:r>
      <w:r w:rsidR="004F1878">
        <w:t xml:space="preserve">the judgment of Hughes LJ (as he then was) in </w:t>
      </w:r>
      <w:r w:rsidR="004F1878">
        <w:rPr>
          <w:i/>
          <w:iCs/>
        </w:rPr>
        <w:t>R v Seddon</w:t>
      </w:r>
      <w:r w:rsidR="004F1878">
        <w:t xml:space="preserve"> [2009] </w:t>
      </w:r>
      <w:proofErr w:type="spellStart"/>
      <w:r w:rsidR="004F1878">
        <w:t>EWCA</w:t>
      </w:r>
      <w:proofErr w:type="spellEnd"/>
      <w:r w:rsidR="004F1878">
        <w:t xml:space="preserve"> Crim </w:t>
      </w:r>
      <w:r w:rsidR="00894A5A">
        <w:t>483; [2009] 1W.L.R.2342, the rational</w:t>
      </w:r>
      <w:r w:rsidR="001E7690">
        <w:t>e</w:t>
      </w:r>
      <w:r w:rsidR="00894A5A">
        <w:t xml:space="preserve"> for specialty </w:t>
      </w:r>
      <w:r w:rsidR="007D7EC6">
        <w:t>“may owe something to the protection of the</w:t>
      </w:r>
      <w:r w:rsidR="00A84542">
        <w:t xml:space="preserve"> </w:t>
      </w:r>
      <w:r w:rsidR="007D7EC6">
        <w:t>indiv</w:t>
      </w:r>
      <w:r w:rsidR="00A84542">
        <w:t>i</w:t>
      </w:r>
      <w:r w:rsidR="007D7EC6">
        <w:t xml:space="preserve">dual, but it plainly lies </w:t>
      </w:r>
      <w:r w:rsidR="00A84542">
        <w:t>principally</w:t>
      </w:r>
      <w:r w:rsidR="007D7EC6">
        <w:t xml:space="preserve"> in the international obligation between </w:t>
      </w:r>
      <w:r w:rsidR="00A84542">
        <w:t xml:space="preserve">states.” It is unnecessary for the purposes of this judgment to decide </w:t>
      </w:r>
      <w:r w:rsidR="00461DCD">
        <w:t>the precise scope of</w:t>
      </w:r>
      <w:r w:rsidR="00A84542">
        <w:t xml:space="preserve"> </w:t>
      </w:r>
      <w:r w:rsidR="00D47A52">
        <w:t>the individual’s rights</w:t>
      </w:r>
      <w:r w:rsidR="00670746">
        <w:t xml:space="preserve">: </w:t>
      </w:r>
      <w:r w:rsidR="00D47A52">
        <w:t xml:space="preserve">what </w:t>
      </w:r>
      <w:r w:rsidR="00670746">
        <w:t xml:space="preserve">matters is that both </w:t>
      </w:r>
      <w:r w:rsidR="00670746" w:rsidRPr="00A16F9E">
        <w:rPr>
          <w:i/>
          <w:iCs/>
        </w:rPr>
        <w:t>Seddon</w:t>
      </w:r>
      <w:r w:rsidR="00D47A52">
        <w:t xml:space="preserve"> and </w:t>
      </w:r>
      <w:proofErr w:type="spellStart"/>
      <w:r w:rsidR="006C7711">
        <w:rPr>
          <w:i/>
          <w:iCs/>
        </w:rPr>
        <w:t>Brodziak</w:t>
      </w:r>
      <w:proofErr w:type="spellEnd"/>
      <w:r w:rsidR="006C7711">
        <w:t xml:space="preserve"> </w:t>
      </w:r>
      <w:r w:rsidR="005B7CD0">
        <w:t>show</w:t>
      </w:r>
      <w:r w:rsidR="006C7711">
        <w:t xml:space="preserve"> that, for extra</w:t>
      </w:r>
      <w:r w:rsidR="00E57A03">
        <w:t xml:space="preserve">dition to be even arguably unlawful because of a potential breach of the specialty rule, facts specific to the individual case </w:t>
      </w:r>
      <w:r w:rsidR="004641F8">
        <w:t>will be</w:t>
      </w:r>
      <w:r w:rsidR="00E57A03">
        <w:t xml:space="preserve"> of critical importance. In </w:t>
      </w:r>
      <w:r w:rsidR="00E57A03">
        <w:lastRenderedPageBreak/>
        <w:t>the</w:t>
      </w:r>
      <w:r w:rsidR="00381001">
        <w:t>ir absence,</w:t>
      </w:r>
      <w:r w:rsidR="00E57A03">
        <w:t xml:space="preserve"> </w:t>
      </w:r>
      <w:r w:rsidR="00381001">
        <w:t xml:space="preserve">the </w:t>
      </w:r>
      <w:r w:rsidR="003C5505">
        <w:t>argument</w:t>
      </w:r>
      <w:r w:rsidR="0012488D">
        <w:t xml:space="preserve"> simply becomes </w:t>
      </w:r>
      <w:r w:rsidR="00381001">
        <w:t>a</w:t>
      </w:r>
      <w:r w:rsidR="003C5505">
        <w:t>n impermissible</w:t>
      </w:r>
      <w:r w:rsidR="00381001">
        <w:t xml:space="preserve"> referendum on another </w:t>
      </w:r>
      <w:r w:rsidR="00854A82">
        <w:t>countr</w:t>
      </w:r>
      <w:r w:rsidR="004641F8">
        <w:t>y</w:t>
      </w:r>
      <w:r w:rsidR="003C5505">
        <w:t>’s</w:t>
      </w:r>
      <w:r w:rsidR="00854A82">
        <w:t xml:space="preserve"> legal system.</w:t>
      </w:r>
    </w:p>
    <w:p w14:paraId="4AD18CAF" w14:textId="20CA2947" w:rsidR="000B73FA" w:rsidRDefault="000B73FA" w:rsidP="00292AC4">
      <w:pPr>
        <w:pStyle w:val="ParaLevel1"/>
      </w:pPr>
      <w:r>
        <w:t xml:space="preserve">Accordingly, </w:t>
      </w:r>
      <w:r w:rsidR="00D12922">
        <w:t xml:space="preserve">I consider that </w:t>
      </w:r>
      <w:r>
        <w:t xml:space="preserve">these </w:t>
      </w:r>
      <w:r w:rsidR="00DF0783">
        <w:t xml:space="preserve">general </w:t>
      </w:r>
      <w:r>
        <w:t>reasons are enough to reject Ground 1 of the appeal.</w:t>
      </w:r>
      <w:r w:rsidR="004B7714">
        <w:t xml:space="preserve"> However, for completeness, I turn to deal with the appellant’s individual complaints about the judge’s judgment. </w:t>
      </w:r>
    </w:p>
    <w:p w14:paraId="1D94C8EC" w14:textId="6A3BEB70" w:rsidR="00A24DE0" w:rsidRPr="00DE3655" w:rsidRDefault="00DB1E19" w:rsidP="00292AC4">
      <w:pPr>
        <w:pStyle w:val="ParaLevel1"/>
        <w:numPr>
          <w:ilvl w:val="0"/>
          <w:numId w:val="0"/>
        </w:numPr>
        <w:rPr>
          <w:i/>
          <w:iCs/>
        </w:rPr>
      </w:pPr>
      <w:r w:rsidRPr="00DE3655">
        <w:rPr>
          <w:i/>
          <w:iCs/>
        </w:rPr>
        <w:t>The Appellant’s Case on Ground 1: Individual Complaints</w:t>
      </w:r>
    </w:p>
    <w:p w14:paraId="46AACC72" w14:textId="74185834" w:rsidR="00CB1AC0" w:rsidRDefault="004F55E3" w:rsidP="00292AC4">
      <w:pPr>
        <w:pStyle w:val="ParaLevel1"/>
      </w:pPr>
      <w:r>
        <w:t>The first is that the judge carried out no proper assessment of whether th</w:t>
      </w:r>
      <w:r w:rsidR="006170EA">
        <w:t>e</w:t>
      </w:r>
      <w:r>
        <w:t xml:space="preserve"> evidence provided by the expert demonstrated that, on the balance of probabilities, </w:t>
      </w:r>
      <w:r w:rsidR="00CF573A">
        <w:t>appropriate specialty arrangements were in place. It seems to me that that submission fail</w:t>
      </w:r>
      <w:r w:rsidR="006170EA">
        <w:t>s</w:t>
      </w:r>
      <w:r w:rsidR="00CF573A">
        <w:t xml:space="preserve"> at every level. For the reason</w:t>
      </w:r>
      <w:r w:rsidR="006170EA">
        <w:t>s</w:t>
      </w:r>
      <w:r w:rsidR="00CF573A">
        <w:t xml:space="preserve"> that I have indic</w:t>
      </w:r>
      <w:r w:rsidR="0059152A">
        <w:t xml:space="preserve">ated, </w:t>
      </w:r>
      <w:r w:rsidR="002D0CC3">
        <w:t>the expert</w:t>
      </w:r>
      <w:r w:rsidR="00632516">
        <w:t>’s</w:t>
      </w:r>
      <w:r w:rsidR="002D0CC3">
        <w:t xml:space="preserve"> evidence </w:t>
      </w:r>
      <w:r w:rsidR="00632516">
        <w:t xml:space="preserve">showed that, </w:t>
      </w:r>
      <w:r w:rsidR="0059152A">
        <w:t>not only were speciality arrangements in place as a matter of law</w:t>
      </w:r>
      <w:r w:rsidR="00C80B34">
        <w:t>, as the judge found</w:t>
      </w:r>
      <w:r w:rsidR="0059152A">
        <w:t>, but they were in place as a matter of practice, albeit</w:t>
      </w:r>
      <w:r w:rsidR="00000A88">
        <w:t xml:space="preserve"> that, in a small number of cases, the point had to be raised by the individual, having not been spotted by the relevant lawyer</w:t>
      </w:r>
      <w:r w:rsidR="00BD555B">
        <w:t xml:space="preserve"> or court</w:t>
      </w:r>
      <w:r w:rsidR="00000A88">
        <w:t>.</w:t>
      </w:r>
      <w:r w:rsidR="00D20A5B">
        <w:t xml:space="preserve"> On every occasion</w:t>
      </w:r>
      <w:r w:rsidR="00125816">
        <w:t xml:space="preserve"> identified by the expert</w:t>
      </w:r>
      <w:r w:rsidR="00D20A5B">
        <w:t>, the initial breach was corrected.</w:t>
      </w:r>
    </w:p>
    <w:p w14:paraId="3E74F2FE" w14:textId="5A3A11AA" w:rsidR="004C2D0E" w:rsidRDefault="00D20A5B" w:rsidP="00292AC4">
      <w:pPr>
        <w:pStyle w:val="ParaLevel1"/>
      </w:pPr>
      <w:r>
        <w:t xml:space="preserve">The judge </w:t>
      </w:r>
      <w:r w:rsidR="00AB42C1">
        <w:t xml:space="preserve">regarded the evidence as demonstrating that </w:t>
      </w:r>
      <w:r w:rsidR="00BD555B">
        <w:t xml:space="preserve">effective </w:t>
      </w:r>
      <w:r w:rsidR="00AB42C1">
        <w:t>specialty arrangements were in place in Bulgaria. I agree</w:t>
      </w:r>
      <w:r w:rsidR="00BD555B">
        <w:t xml:space="preserve"> with that conclusion</w:t>
      </w:r>
      <w:r w:rsidR="00AB42C1">
        <w:t xml:space="preserve">. </w:t>
      </w:r>
      <w:r w:rsidR="00140CA5">
        <w:t>That is unaffected  by the fact that, in some countries (such as the UK)</w:t>
      </w:r>
      <w:r w:rsidR="0066765F">
        <w:t xml:space="preserve"> there is separate guidance for prosecutors as to specialty. I repeat the point made above</w:t>
      </w:r>
      <w:r w:rsidR="00E86EF7">
        <w:t>,</w:t>
      </w:r>
      <w:r w:rsidR="0066765F">
        <w:t xml:space="preserve"> that</w:t>
      </w:r>
      <w:r w:rsidR="00097157">
        <w:t xml:space="preserve"> </w:t>
      </w:r>
      <w:r w:rsidR="0066765F">
        <w:t>legal system</w:t>
      </w:r>
      <w:r w:rsidR="00097157">
        <w:t>s vary from country to country and it is not appropriate to judge the practice and procedure in one by reference to the practice and procedure in another.</w:t>
      </w:r>
    </w:p>
    <w:p w14:paraId="13B8CB04" w14:textId="5776214B" w:rsidR="0083548B" w:rsidRDefault="00E66F17" w:rsidP="00292AC4">
      <w:pPr>
        <w:pStyle w:val="ParaLevel1"/>
      </w:pPr>
      <w:r>
        <w:t>The second complaint is that the judge did no</w:t>
      </w:r>
      <w:r w:rsidR="0002752D">
        <w:t>t</w:t>
      </w:r>
      <w:r>
        <w:t xml:space="preserve"> address the specific breaches of specialty which </w:t>
      </w:r>
      <w:r w:rsidR="000A3194">
        <w:t xml:space="preserve">were </w:t>
      </w:r>
      <w:r>
        <w:t xml:space="preserve">identified </w:t>
      </w:r>
      <w:r w:rsidR="000A3194">
        <w:t xml:space="preserve">in the evidence </w:t>
      </w:r>
      <w:r>
        <w:t xml:space="preserve">relating to </w:t>
      </w:r>
      <w:r w:rsidR="00EB65BD">
        <w:t xml:space="preserve">three </w:t>
      </w:r>
      <w:r>
        <w:t xml:space="preserve">UK </w:t>
      </w:r>
      <w:proofErr w:type="spellStart"/>
      <w:r w:rsidR="00EB65BD">
        <w:t>extradite</w:t>
      </w:r>
      <w:r w:rsidR="00EF6E43">
        <w:t>e</w:t>
      </w:r>
      <w:r w:rsidR="00EB65BD">
        <w:t>s</w:t>
      </w:r>
      <w:proofErr w:type="spellEnd"/>
      <w:r w:rsidR="00EB65BD">
        <w:t xml:space="preserve"> to Bulgaria</w:t>
      </w:r>
      <w:r w:rsidR="00E5101B">
        <w:t xml:space="preserve">: Messrs Petrov, </w:t>
      </w:r>
      <w:proofErr w:type="spellStart"/>
      <w:r w:rsidR="0047545A">
        <w:t>Zdr</w:t>
      </w:r>
      <w:r w:rsidR="00EF6E43">
        <w:t>avkov</w:t>
      </w:r>
      <w:proofErr w:type="spellEnd"/>
      <w:r w:rsidR="00EF6E43">
        <w:t xml:space="preserve"> and Ivanov</w:t>
      </w:r>
      <w:r w:rsidR="0002752D">
        <w:t>. A</w:t>
      </w:r>
      <w:r w:rsidR="00FE14A8">
        <w:t>lthough the judge</w:t>
      </w:r>
      <w:r w:rsidR="0002752D">
        <w:t xml:space="preserve"> </w:t>
      </w:r>
      <w:r w:rsidR="00AE2392">
        <w:t>referred at [18] to this evidence</w:t>
      </w:r>
      <w:r w:rsidR="00FE14A8">
        <w:t xml:space="preserve"> in general terms, he</w:t>
      </w:r>
      <w:r w:rsidR="00AE2392">
        <w:t xml:space="preserve"> went on t</w:t>
      </w:r>
      <w:r w:rsidR="00AB607D">
        <w:t>o</w:t>
      </w:r>
      <w:r w:rsidR="00AE2392">
        <w:t xml:space="preserve"> say that, once proper procedures were in place, the principle of speciality was applied. </w:t>
      </w:r>
      <w:r w:rsidR="00D4344E">
        <w:t xml:space="preserve">That </w:t>
      </w:r>
      <w:r w:rsidR="00FE14A8">
        <w:t>appears to be</w:t>
      </w:r>
      <w:r w:rsidR="00D4344E">
        <w:t xml:space="preserve"> a summary of the expert’s evidence</w:t>
      </w:r>
      <w:r w:rsidR="00FC6147">
        <w:t>,</w:t>
      </w:r>
      <w:r w:rsidR="00D4344E">
        <w:t xml:space="preserve"> but it </w:t>
      </w:r>
      <w:r w:rsidR="00416A9A">
        <w:t>did not address the</w:t>
      </w:r>
      <w:r w:rsidR="00FC6147">
        <w:t xml:space="preserve"> separate</w:t>
      </w:r>
      <w:r w:rsidR="00416A9A">
        <w:t xml:space="preserve"> evidence </w:t>
      </w:r>
      <w:r w:rsidR="00207657">
        <w:t>about</w:t>
      </w:r>
      <w:r w:rsidR="00416A9A">
        <w:t xml:space="preserve"> these three specific cases</w:t>
      </w:r>
      <w:r w:rsidR="00D149F1">
        <w:t>.</w:t>
      </w:r>
    </w:p>
    <w:p w14:paraId="7F7691FB" w14:textId="049C9DC0" w:rsidR="007631AF" w:rsidRDefault="00E731C9" w:rsidP="00292AC4">
      <w:pPr>
        <w:pStyle w:val="ParaLevel1"/>
      </w:pPr>
      <w:r>
        <w:t>This was not a matter that weas dealt with by Mr Owen orally. However, it does feature quite significantly in his skeleton argument.</w:t>
      </w:r>
      <w:r w:rsidR="00227A62">
        <w:t xml:space="preserve"> I</w:t>
      </w:r>
      <w:r w:rsidR="0088089A">
        <w:t xml:space="preserve"> accept </w:t>
      </w:r>
      <w:r w:rsidR="00D47B46">
        <w:t>the</w:t>
      </w:r>
      <w:r w:rsidR="0088089A">
        <w:t xml:space="preserve"> submission</w:t>
      </w:r>
      <w:r w:rsidR="00D47B46">
        <w:t xml:space="preserve"> made there</w:t>
      </w:r>
      <w:r w:rsidR="0088089A">
        <w:t xml:space="preserve"> that the judge ought to have </w:t>
      </w:r>
      <w:r w:rsidR="00CF1E4E">
        <w:t xml:space="preserve">expressly </w:t>
      </w:r>
      <w:r w:rsidR="0088089A">
        <w:t xml:space="preserve">dealt with </w:t>
      </w:r>
      <w:r w:rsidR="000E1106">
        <w:t>the</w:t>
      </w:r>
      <w:r w:rsidR="00207657">
        <w:t xml:space="preserve"> evidence relating to these</w:t>
      </w:r>
      <w:r w:rsidR="000E1106">
        <w:t xml:space="preserve"> three </w:t>
      </w:r>
      <w:proofErr w:type="spellStart"/>
      <w:r w:rsidR="000E1106">
        <w:t>extraditees</w:t>
      </w:r>
      <w:proofErr w:type="spellEnd"/>
      <w:r w:rsidR="000E1106">
        <w:t>. It appears that in each case other charges were brought which pre-dated the extradi</w:t>
      </w:r>
      <w:r w:rsidR="00E86C63">
        <w:t>tion and which led, in the case of Petrov</w:t>
      </w:r>
      <w:r w:rsidR="009311F7">
        <w:t>,</w:t>
      </w:r>
      <w:r w:rsidR="00E86C63">
        <w:t xml:space="preserve"> to an extended period on the equivalent of bail</w:t>
      </w:r>
      <w:r w:rsidR="000C1497">
        <w:t>, and in the case</w:t>
      </w:r>
      <w:r w:rsidR="009311F7">
        <w:t>s</w:t>
      </w:r>
      <w:r w:rsidR="000C1497">
        <w:t xml:space="preserve"> of </w:t>
      </w:r>
      <w:proofErr w:type="spellStart"/>
      <w:r w:rsidR="000C1497">
        <w:t>Zdrovkov</w:t>
      </w:r>
      <w:proofErr w:type="spellEnd"/>
      <w:r w:rsidR="000C1497">
        <w:t xml:space="preserve"> and Ivanov</w:t>
      </w:r>
      <w:r w:rsidR="007F7354">
        <w:t xml:space="preserve">, </w:t>
      </w:r>
      <w:r w:rsidR="000C1497">
        <w:t xml:space="preserve">additional sentences of 18 months and 6 months </w:t>
      </w:r>
      <w:r w:rsidR="00E73575">
        <w:t>respectively</w:t>
      </w:r>
      <w:r w:rsidR="000C1497">
        <w:t xml:space="preserve">. </w:t>
      </w:r>
    </w:p>
    <w:p w14:paraId="5B202EC4" w14:textId="0B88DB67" w:rsidR="00ED5DB2" w:rsidRDefault="00ED5DB2" w:rsidP="00292AC4">
      <w:pPr>
        <w:pStyle w:val="ParaLevel1"/>
      </w:pPr>
      <w:r>
        <w:t xml:space="preserve">This evidence therefore supports the appellant’s </w:t>
      </w:r>
      <w:r w:rsidR="009311F7">
        <w:t xml:space="preserve">general </w:t>
      </w:r>
      <w:r>
        <w:t xml:space="preserve">case that speciality arrangements in Bulgaria do not always work in practice. However, it is to be noted that the relevant events in those three cases are now </w:t>
      </w:r>
      <w:r w:rsidR="00FD57C5">
        <w:t>3-5</w:t>
      </w:r>
      <w:r>
        <w:t xml:space="preserve"> years old.</w:t>
      </w:r>
      <w:r w:rsidR="00B31FC7">
        <w:t xml:space="preserve"> </w:t>
      </w:r>
      <w:r w:rsidR="001A3A71">
        <w:t xml:space="preserve">This evidence, therefore, even taken at its highest and considered along with that of the expert, does not lead to the conclusion </w:t>
      </w:r>
      <w:r w:rsidR="002B1553">
        <w:t xml:space="preserve">that there is likely to be a breach of the specialty </w:t>
      </w:r>
      <w:r w:rsidR="00C95E1E">
        <w:t>rule</w:t>
      </w:r>
      <w:r w:rsidR="002B1553">
        <w:t xml:space="preserve"> in this case.</w:t>
      </w:r>
    </w:p>
    <w:p w14:paraId="0F4130FE" w14:textId="5CE03708" w:rsidR="00A2524D" w:rsidRDefault="00D149F1" w:rsidP="00292AC4">
      <w:pPr>
        <w:pStyle w:val="ParaLevel1"/>
      </w:pPr>
      <w:r>
        <w:t>The third complaint is that the judge did not engage with the evidence from the respondent. It is certainly right that he d</w:t>
      </w:r>
      <w:r w:rsidR="00C95E1E">
        <w:t>id</w:t>
      </w:r>
      <w:r>
        <w:t xml:space="preserve"> not refer to the </w:t>
      </w:r>
      <w:r w:rsidR="00C34A30">
        <w:t xml:space="preserve">respondent’s </w:t>
      </w:r>
      <w:r>
        <w:t xml:space="preserve">letters </w:t>
      </w:r>
      <w:r w:rsidR="00C95E1E">
        <w:t xml:space="preserve">on this </w:t>
      </w:r>
      <w:r w:rsidR="00C95E1E">
        <w:lastRenderedPageBreak/>
        <w:t xml:space="preserve">topic </w:t>
      </w:r>
      <w:r>
        <w:t>of 2</w:t>
      </w:r>
      <w:r w:rsidR="009706C6">
        <w:t xml:space="preserve"> or 10 November 2020. But in my view, he had no need to. He had concluded, on </w:t>
      </w:r>
      <w:r w:rsidR="00492357">
        <w:t xml:space="preserve">the </w:t>
      </w:r>
      <w:r w:rsidR="009706C6">
        <w:t xml:space="preserve">appellant’s evidence and </w:t>
      </w:r>
      <w:r w:rsidR="00F464EF">
        <w:t xml:space="preserve">particularly </w:t>
      </w:r>
      <w:r w:rsidR="009706C6">
        <w:t xml:space="preserve">that of his expert, that the </w:t>
      </w:r>
      <w:r w:rsidR="0046691F">
        <w:t xml:space="preserve">specialty complaint had not been made out. </w:t>
      </w:r>
      <w:r w:rsidR="00492357">
        <w:t>T</w:t>
      </w:r>
      <w:r w:rsidR="000F0918">
        <w:t xml:space="preserve">he </w:t>
      </w:r>
      <w:r w:rsidR="000F67FC">
        <w:t xml:space="preserve">evidence relating to the three UK </w:t>
      </w:r>
      <w:proofErr w:type="spellStart"/>
      <w:r w:rsidR="000F67FC">
        <w:t>extraditees</w:t>
      </w:r>
      <w:proofErr w:type="spellEnd"/>
      <w:r w:rsidR="000F67FC">
        <w:t xml:space="preserve"> made </w:t>
      </w:r>
      <w:r w:rsidR="00492357">
        <w:t>no</w:t>
      </w:r>
      <w:r w:rsidR="000F67FC">
        <w:t xml:space="preserve"> </w:t>
      </w:r>
      <w:r w:rsidR="00AD43E7">
        <w:t xml:space="preserve">material </w:t>
      </w:r>
      <w:r w:rsidR="000F67FC">
        <w:t>difference to that outcome.</w:t>
      </w:r>
      <w:r w:rsidR="00492357" w:rsidRPr="00492357">
        <w:t xml:space="preserve"> </w:t>
      </w:r>
      <w:r w:rsidR="00492357">
        <w:t>That was therefore the end of the matter.</w:t>
      </w:r>
    </w:p>
    <w:p w14:paraId="1C24E4B5" w14:textId="5370B621" w:rsidR="00D77069" w:rsidRDefault="0046691F" w:rsidP="00292AC4">
      <w:pPr>
        <w:pStyle w:val="ParaLevel1"/>
      </w:pPr>
      <w:r>
        <w:t xml:space="preserve">Furthermore I regard the </w:t>
      </w:r>
      <w:r w:rsidR="00D14A39">
        <w:t xml:space="preserve">express and implied criticisms of the respondent’s letters (at paragraphs 40-44 of the appellants skeleton argument) </w:t>
      </w:r>
      <w:r w:rsidR="00AD43E7">
        <w:t>as</w:t>
      </w:r>
      <w:r w:rsidR="00D14A39">
        <w:t xml:space="preserve"> misplaced. </w:t>
      </w:r>
      <w:r w:rsidR="00A93674">
        <w:t>It is not for the appellant to criticise the tone of the letter</w:t>
      </w:r>
      <w:r w:rsidR="00796AA7">
        <w:t>s</w:t>
      </w:r>
      <w:r w:rsidR="00A93674">
        <w:t xml:space="preserve"> or to suggest that</w:t>
      </w:r>
      <w:r w:rsidR="004D7F8B">
        <w:t>,</w:t>
      </w:r>
      <w:r w:rsidR="00A93674">
        <w:t xml:space="preserve"> in some way</w:t>
      </w:r>
      <w:r w:rsidR="004D7F8B">
        <w:t>,</w:t>
      </w:r>
      <w:r w:rsidR="00A93674">
        <w:t xml:space="preserve"> there was an obligation on the respondent to answer every point </w:t>
      </w:r>
      <w:r w:rsidR="00D13E17">
        <w:t>set out in</w:t>
      </w:r>
      <w:r w:rsidR="00A93674">
        <w:t xml:space="preserve"> the expert’s report</w:t>
      </w:r>
      <w:r w:rsidR="009366B3">
        <w:t>.</w:t>
      </w:r>
      <w:r w:rsidR="00E65C18">
        <w:t xml:space="preserve"> </w:t>
      </w:r>
      <w:r w:rsidR="00D1567D">
        <w:t>I do not accept the appellant’s suggestion that the letters show that the Bulgarian authorities do not</w:t>
      </w:r>
      <w:r w:rsidR="00897555">
        <w:t xml:space="preserve"> understand the specialty rule.</w:t>
      </w:r>
      <w:r w:rsidR="00D1567D">
        <w:t xml:space="preserve"> </w:t>
      </w:r>
    </w:p>
    <w:p w14:paraId="490F8CE3" w14:textId="04964541" w:rsidR="00B63716" w:rsidRDefault="00EF0782" w:rsidP="00292AC4">
      <w:pPr>
        <w:pStyle w:val="ParaLevel1"/>
      </w:pPr>
      <w:r>
        <w:t xml:space="preserve">Finally, the judge </w:t>
      </w:r>
      <w:r w:rsidR="00796AA7">
        <w:t xml:space="preserve">is criticised </w:t>
      </w:r>
      <w:r>
        <w:t>for conclu</w:t>
      </w:r>
      <w:r w:rsidR="00D12734">
        <w:t>d</w:t>
      </w:r>
      <w:r>
        <w:t xml:space="preserve">ing that </w:t>
      </w:r>
      <w:r w:rsidR="00796AA7">
        <w:t>the appellant’s</w:t>
      </w:r>
      <w:r>
        <w:t xml:space="preserve"> </w:t>
      </w:r>
      <w:r w:rsidR="00CB035C">
        <w:t xml:space="preserve">own </w:t>
      </w:r>
      <w:r>
        <w:t xml:space="preserve">knowledge of specialty </w:t>
      </w:r>
      <w:r w:rsidR="00D12734">
        <w:t xml:space="preserve">would mean that </w:t>
      </w:r>
      <w:r w:rsidR="00CB035C">
        <w:t>the appellant</w:t>
      </w:r>
      <w:r w:rsidR="00D12734">
        <w:t xml:space="preserve"> could enforce his rights should the situation ar</w:t>
      </w:r>
      <w:r w:rsidR="00CB035C">
        <w:t>i</w:t>
      </w:r>
      <w:r w:rsidR="00D12734">
        <w:t>se.</w:t>
      </w:r>
      <w:r w:rsidR="00FA54BF">
        <w:t xml:space="preserve"> </w:t>
      </w:r>
      <w:r w:rsidR="00C56F38">
        <w:t xml:space="preserve">I reject that. </w:t>
      </w:r>
      <w:r w:rsidR="00FA54BF">
        <w:t>The judge was entitled to reach that conclusion because the</w:t>
      </w:r>
      <w:r w:rsidR="008C393C">
        <w:t xml:space="preserve"> </w:t>
      </w:r>
      <w:r w:rsidR="00FA54BF">
        <w:t>expert’s evidence was to the effect that, if there had been a pro</w:t>
      </w:r>
      <w:r w:rsidR="008C393C">
        <w:t xml:space="preserve">blem with specialty, the matter had been raised by the </w:t>
      </w:r>
      <w:r w:rsidR="00CD1B36">
        <w:t>requested person</w:t>
      </w:r>
      <w:r w:rsidR="00D905FF">
        <w:t xml:space="preserve"> and then dealt with appropriately.</w:t>
      </w:r>
      <w:r w:rsidR="004C4FD4">
        <w:t xml:space="preserve"> I profoundly disagree </w:t>
      </w:r>
      <w:r w:rsidR="00C0486E">
        <w:t xml:space="preserve">with the suggestion that, because the evidence shows that it is sometimes the </w:t>
      </w:r>
      <w:r w:rsidR="00CD1B36">
        <w:t>requested person</w:t>
      </w:r>
      <w:r w:rsidR="00C0486E">
        <w:t xml:space="preserve"> who raises the point in the first place, that mu</w:t>
      </w:r>
      <w:r w:rsidR="005F41AC">
        <w:t>s</w:t>
      </w:r>
      <w:r w:rsidR="00C0486E">
        <w:t>t mean that there is not a proper system of specialty</w:t>
      </w:r>
      <w:r w:rsidR="00AC695D">
        <w:t xml:space="preserve"> in place</w:t>
      </w:r>
      <w:r w:rsidR="005F41AC">
        <w:t xml:space="preserve">. </w:t>
      </w:r>
      <w:r w:rsidR="00D775BE">
        <w:t>That</w:t>
      </w:r>
      <w:r w:rsidR="00CD1B36">
        <w:t xml:space="preserve"> is contra</w:t>
      </w:r>
      <w:r w:rsidR="00157AAD">
        <w:t xml:space="preserve">ry to what Dyson LJ said in </w:t>
      </w:r>
      <w:r w:rsidR="00157AAD" w:rsidRPr="00CA0089">
        <w:rPr>
          <w:i/>
          <w:iCs/>
        </w:rPr>
        <w:t>Ruiz</w:t>
      </w:r>
      <w:r w:rsidR="00157AAD">
        <w:t>, where he attached importance to the</w:t>
      </w:r>
      <w:r w:rsidR="00FC6727">
        <w:t xml:space="preserve"> remedy available to</w:t>
      </w:r>
      <w:r w:rsidR="00157AAD">
        <w:t xml:space="preserve"> the requested person</w:t>
      </w:r>
      <w:r w:rsidR="00E639B5">
        <w:t xml:space="preserve"> in such a situation</w:t>
      </w:r>
      <w:r w:rsidR="00CA0089">
        <w:t>.</w:t>
      </w:r>
    </w:p>
    <w:p w14:paraId="7FBF94DA" w14:textId="4528C8CD" w:rsidR="00A12E9A" w:rsidRDefault="00DE3655" w:rsidP="00292AC4">
      <w:pPr>
        <w:pStyle w:val="ParaLevel1"/>
      </w:pPr>
      <w:r>
        <w:t>A</w:t>
      </w:r>
      <w:r w:rsidR="00A12E9A">
        <w:t xml:space="preserve">ccordingly, </w:t>
      </w:r>
      <w:r w:rsidR="0039210F">
        <w:t xml:space="preserve">for </w:t>
      </w:r>
      <w:r w:rsidR="009E6061">
        <w:t xml:space="preserve">all </w:t>
      </w:r>
      <w:r w:rsidR="0039210F">
        <w:t xml:space="preserve">these reasons, </w:t>
      </w:r>
      <w:r w:rsidR="00A12E9A">
        <w:t>I would dismiss Ground 1 of the appeal.</w:t>
      </w:r>
    </w:p>
    <w:p w14:paraId="37282EEA" w14:textId="13FEAAD9" w:rsidR="005D5697" w:rsidRPr="00F8722B" w:rsidRDefault="0061210C" w:rsidP="00292AC4">
      <w:pPr>
        <w:pStyle w:val="ParaLevel1"/>
        <w:numPr>
          <w:ilvl w:val="0"/>
          <w:numId w:val="0"/>
        </w:numPr>
        <w:rPr>
          <w:b/>
          <w:bCs/>
          <w:lang w:val="fr-FR"/>
        </w:rPr>
      </w:pPr>
      <w:r w:rsidRPr="00F8722B">
        <w:rPr>
          <w:b/>
          <w:bCs/>
          <w:lang w:val="fr-FR"/>
        </w:rPr>
        <w:t xml:space="preserve">Ground 2: </w:t>
      </w:r>
      <w:r w:rsidR="005B03FA">
        <w:rPr>
          <w:b/>
          <w:bCs/>
          <w:lang w:val="fr-FR"/>
        </w:rPr>
        <w:t xml:space="preserve">Article </w:t>
      </w:r>
      <w:r w:rsidR="00AB3C1D">
        <w:rPr>
          <w:b/>
          <w:bCs/>
          <w:lang w:val="fr-FR"/>
        </w:rPr>
        <w:t>3 (</w:t>
      </w:r>
      <w:r w:rsidRPr="00F8722B">
        <w:rPr>
          <w:b/>
          <w:bCs/>
          <w:lang w:val="fr-FR"/>
        </w:rPr>
        <w:t>Prison Conditions</w:t>
      </w:r>
      <w:r w:rsidR="00AB3C1D">
        <w:rPr>
          <w:b/>
          <w:bCs/>
          <w:lang w:val="fr-FR"/>
        </w:rPr>
        <w:t>)</w:t>
      </w:r>
    </w:p>
    <w:p w14:paraId="30E4F548" w14:textId="360CE023" w:rsidR="00F8722B" w:rsidRPr="0039210F" w:rsidRDefault="00F8722B" w:rsidP="00292AC4">
      <w:pPr>
        <w:pStyle w:val="ParaLevel1"/>
        <w:numPr>
          <w:ilvl w:val="0"/>
          <w:numId w:val="0"/>
        </w:numPr>
        <w:rPr>
          <w:i/>
          <w:iCs/>
          <w:lang w:val="fr-FR"/>
        </w:rPr>
      </w:pPr>
      <w:r w:rsidRPr="0039210F">
        <w:rPr>
          <w:i/>
          <w:iCs/>
          <w:lang w:val="fr-FR"/>
        </w:rPr>
        <w:t>Article 3: Principles</w:t>
      </w:r>
    </w:p>
    <w:p w14:paraId="7D0D6E68" w14:textId="4CBBFA8F" w:rsidR="006330C5" w:rsidRDefault="005C4C81" w:rsidP="00292AC4">
      <w:pPr>
        <w:pStyle w:val="ParaLevel1"/>
      </w:pPr>
      <w:r>
        <w:t>The following principles are applicable</w:t>
      </w:r>
      <w:r w:rsidR="00405B84">
        <w:t xml:space="preserve">: </w:t>
      </w:r>
    </w:p>
    <w:p w14:paraId="4C0E6BB0" w14:textId="43B20C5D" w:rsidR="00681F97" w:rsidRDefault="006330C5" w:rsidP="00292AC4">
      <w:pPr>
        <w:pStyle w:val="ParaLevel1"/>
        <w:numPr>
          <w:ilvl w:val="0"/>
          <w:numId w:val="0"/>
        </w:numPr>
        <w:ind w:left="720"/>
      </w:pPr>
      <w:r>
        <w:t>a)</w:t>
      </w:r>
      <w:r w:rsidR="00282BF7">
        <w:t xml:space="preserve"> </w:t>
      </w:r>
      <w:r w:rsidR="00E27BC8">
        <w:t>A judge must order a person’s discharge if their extradition would not</w:t>
      </w:r>
      <w:r w:rsidR="006C6EEF">
        <w:t xml:space="preserve"> </w:t>
      </w:r>
      <w:r w:rsidR="00E27BC8">
        <w:t>be compatible with th</w:t>
      </w:r>
      <w:r w:rsidR="006C6EEF">
        <w:t>eir</w:t>
      </w:r>
      <w:r w:rsidR="00E27BC8">
        <w:t xml:space="preserve"> ECHR right: see</w:t>
      </w:r>
      <w:r w:rsidR="0091513C">
        <w:t xml:space="preserve"> s.21(2) of the Act.</w:t>
      </w:r>
    </w:p>
    <w:p w14:paraId="318DCD0B" w14:textId="763DA347" w:rsidR="004033A1" w:rsidRDefault="0091513C" w:rsidP="00292AC4">
      <w:pPr>
        <w:pStyle w:val="ParaLevel1"/>
        <w:numPr>
          <w:ilvl w:val="0"/>
          <w:numId w:val="0"/>
        </w:numPr>
        <w:ind w:left="720"/>
      </w:pPr>
      <w:r>
        <w:t xml:space="preserve">b) The burden is on </w:t>
      </w:r>
      <w:r w:rsidR="00EA0908">
        <w:t>the individual to demonstrate that there are strong</w:t>
      </w:r>
      <w:r w:rsidR="006C24CD">
        <w:t xml:space="preserve"> or </w:t>
      </w:r>
      <w:r w:rsidR="008D7546">
        <w:t>substantial</w:t>
      </w:r>
      <w:r w:rsidR="00EA0908">
        <w:t xml:space="preserve"> grounds for believing that there is a real risk </w:t>
      </w:r>
      <w:r w:rsidR="00752C3A">
        <w:t>that he or she wil</w:t>
      </w:r>
      <w:r w:rsidR="006C6EEF">
        <w:t>l</w:t>
      </w:r>
      <w:r w:rsidR="00752C3A">
        <w:t xml:space="preserve"> be subjected to </w:t>
      </w:r>
      <w:r w:rsidR="00E84167">
        <w:t>inhuman and degrading</w:t>
      </w:r>
      <w:r w:rsidR="00752C3A">
        <w:t xml:space="preserve"> treatment: see </w:t>
      </w:r>
      <w:r w:rsidR="00752C3A">
        <w:rPr>
          <w:i/>
          <w:iCs/>
        </w:rPr>
        <w:t>R(</w:t>
      </w:r>
      <w:proofErr w:type="spellStart"/>
      <w:r w:rsidR="00E639B5">
        <w:rPr>
          <w:i/>
          <w:iCs/>
        </w:rPr>
        <w:t>oao</w:t>
      </w:r>
      <w:proofErr w:type="spellEnd"/>
      <w:r w:rsidR="00E639B5">
        <w:rPr>
          <w:i/>
          <w:iCs/>
        </w:rPr>
        <w:t xml:space="preserve"> </w:t>
      </w:r>
      <w:r w:rsidR="00752C3A">
        <w:rPr>
          <w:i/>
          <w:iCs/>
        </w:rPr>
        <w:t>Ullah) v Special Adju</w:t>
      </w:r>
      <w:r w:rsidR="00451C37">
        <w:rPr>
          <w:i/>
          <w:iCs/>
        </w:rPr>
        <w:t>dicator</w:t>
      </w:r>
      <w:r w:rsidR="00451C37">
        <w:t xml:space="preserve"> </w:t>
      </w:r>
      <w:r w:rsidR="004F11FB">
        <w:t xml:space="preserve">2 </w:t>
      </w:r>
      <w:proofErr w:type="spellStart"/>
      <w:r w:rsidR="004F11FB">
        <w:t>A.C</w:t>
      </w:r>
      <w:proofErr w:type="spellEnd"/>
      <w:r w:rsidR="004F11FB">
        <w:t>. 323</w:t>
      </w:r>
      <w:r w:rsidR="00C06D05">
        <w:t xml:space="preserve">; </w:t>
      </w:r>
      <w:r w:rsidR="00451C37">
        <w:t>[2004] 3WLR 23 at [24]</w:t>
      </w:r>
      <w:r w:rsidR="00C06D05">
        <w:t>,</w:t>
      </w:r>
      <w:r w:rsidR="00451C37">
        <w:t xml:space="preserve"> and </w:t>
      </w:r>
      <w:r w:rsidR="00307733">
        <w:rPr>
          <w:i/>
          <w:iCs/>
        </w:rPr>
        <w:t>R(</w:t>
      </w:r>
      <w:proofErr w:type="spellStart"/>
      <w:r w:rsidR="00307733">
        <w:rPr>
          <w:i/>
          <w:iCs/>
        </w:rPr>
        <w:t>o</w:t>
      </w:r>
      <w:r w:rsidR="00E639B5">
        <w:rPr>
          <w:i/>
          <w:iCs/>
        </w:rPr>
        <w:t>ao</w:t>
      </w:r>
      <w:proofErr w:type="spellEnd"/>
      <w:r w:rsidR="00E639B5">
        <w:rPr>
          <w:i/>
          <w:iCs/>
        </w:rPr>
        <w:t xml:space="preserve"> </w:t>
      </w:r>
      <w:r w:rsidR="00307733">
        <w:rPr>
          <w:i/>
          <w:iCs/>
        </w:rPr>
        <w:t xml:space="preserve">Harkins) v Secretary of State for the Home Department and </w:t>
      </w:r>
      <w:proofErr w:type="spellStart"/>
      <w:r w:rsidR="00307733">
        <w:rPr>
          <w:i/>
          <w:iCs/>
        </w:rPr>
        <w:t>Anr</w:t>
      </w:r>
      <w:proofErr w:type="spellEnd"/>
      <w:r w:rsidR="0072353B">
        <w:rPr>
          <w:i/>
          <w:iCs/>
        </w:rPr>
        <w:t xml:space="preserve"> </w:t>
      </w:r>
      <w:r w:rsidR="00307733">
        <w:t xml:space="preserve">[2014] </w:t>
      </w:r>
      <w:proofErr w:type="spellStart"/>
      <w:r w:rsidR="00307733">
        <w:t>EWHC</w:t>
      </w:r>
      <w:proofErr w:type="spellEnd"/>
      <w:r w:rsidR="00307733">
        <w:t xml:space="preserve"> </w:t>
      </w:r>
      <w:r w:rsidR="0072353B">
        <w:t>3609 (Admin)</w:t>
      </w:r>
      <w:r w:rsidR="00016EC5">
        <w:t xml:space="preserve">; [2015] 1 W.L.R. </w:t>
      </w:r>
      <w:r w:rsidR="00D0526F">
        <w:t>2975,</w:t>
      </w:r>
      <w:r w:rsidR="0072353B">
        <w:t xml:space="preserve"> at [34]. </w:t>
      </w:r>
    </w:p>
    <w:p w14:paraId="21C41FFF" w14:textId="18C15ECD" w:rsidR="00B17DAF" w:rsidRDefault="001E7690" w:rsidP="00292AC4">
      <w:pPr>
        <w:pStyle w:val="ParaLevel1"/>
        <w:numPr>
          <w:ilvl w:val="0"/>
          <w:numId w:val="0"/>
        </w:numPr>
        <w:ind w:left="720"/>
      </w:pPr>
      <w:r>
        <w:t>c</w:t>
      </w:r>
      <w:r w:rsidR="004033A1">
        <w:t xml:space="preserve">) </w:t>
      </w:r>
      <w:r w:rsidR="0072353B">
        <w:t xml:space="preserve">In order to establish a real risk </w:t>
      </w:r>
      <w:r w:rsidR="00C622EC">
        <w:t xml:space="preserve">it is necessary to show that the risk is “well founded”: see </w:t>
      </w:r>
      <w:r w:rsidR="00C622EC">
        <w:rPr>
          <w:i/>
          <w:iCs/>
        </w:rPr>
        <w:t xml:space="preserve"> R(</w:t>
      </w:r>
      <w:proofErr w:type="spellStart"/>
      <w:r w:rsidR="009622C0">
        <w:rPr>
          <w:i/>
          <w:iCs/>
        </w:rPr>
        <w:t>oao</w:t>
      </w:r>
      <w:proofErr w:type="spellEnd"/>
      <w:r w:rsidR="00C622EC">
        <w:rPr>
          <w:i/>
          <w:iCs/>
        </w:rPr>
        <w:t xml:space="preserve"> </w:t>
      </w:r>
      <w:proofErr w:type="spellStart"/>
      <w:r w:rsidR="00746041">
        <w:rPr>
          <w:i/>
          <w:iCs/>
        </w:rPr>
        <w:t>Bagdanav</w:t>
      </w:r>
      <w:r w:rsidR="00B241B7">
        <w:rPr>
          <w:i/>
          <w:iCs/>
        </w:rPr>
        <w:t>i</w:t>
      </w:r>
      <w:r w:rsidR="00746041">
        <w:rPr>
          <w:i/>
          <w:iCs/>
        </w:rPr>
        <w:t>cius</w:t>
      </w:r>
      <w:proofErr w:type="spellEnd"/>
      <w:r w:rsidR="00746041">
        <w:rPr>
          <w:i/>
          <w:iCs/>
        </w:rPr>
        <w:t xml:space="preserve">) v Secretary of State for the Home Department </w:t>
      </w:r>
      <w:r w:rsidR="00746041">
        <w:t xml:space="preserve">[2003] </w:t>
      </w:r>
      <w:proofErr w:type="spellStart"/>
      <w:r w:rsidR="00746041">
        <w:t>EWC</w:t>
      </w:r>
      <w:r w:rsidR="00B17DAF">
        <w:t>A</w:t>
      </w:r>
      <w:proofErr w:type="spellEnd"/>
      <w:r w:rsidR="00B17DAF">
        <w:t xml:space="preserve"> </w:t>
      </w:r>
      <w:proofErr w:type="spellStart"/>
      <w:r w:rsidR="00B17DAF">
        <w:t>Civ</w:t>
      </w:r>
      <w:proofErr w:type="spellEnd"/>
      <w:r w:rsidR="00B17DAF">
        <w:t xml:space="preserve"> 1605. </w:t>
      </w:r>
    </w:p>
    <w:p w14:paraId="3F3340FB" w14:textId="4D5E96F8" w:rsidR="005F71FC" w:rsidRDefault="001E7690" w:rsidP="00292AC4">
      <w:pPr>
        <w:pStyle w:val="ParaLevel1"/>
        <w:numPr>
          <w:ilvl w:val="0"/>
          <w:numId w:val="0"/>
        </w:numPr>
        <w:ind w:left="720"/>
      </w:pPr>
      <w:r>
        <w:t>d</w:t>
      </w:r>
      <w:r w:rsidR="008378AC">
        <w:t xml:space="preserve">) </w:t>
      </w:r>
      <w:r w:rsidR="00216A5C">
        <w:t xml:space="preserve">All such </w:t>
      </w:r>
      <w:r w:rsidR="00C33C18">
        <w:t>A</w:t>
      </w:r>
      <w:r w:rsidR="0061441F">
        <w:t>rticle 3 applications</w:t>
      </w:r>
      <w:r w:rsidR="00C33C18">
        <w:t xml:space="preserve"> must be considered in the context of </w:t>
      </w:r>
      <w:r w:rsidR="002005AD">
        <w:t xml:space="preserve">the importance of the principle of mutual trust between </w:t>
      </w:r>
      <w:r w:rsidR="00662367">
        <w:t xml:space="preserve">States, which </w:t>
      </w:r>
      <w:r w:rsidR="00A65B56">
        <w:t xml:space="preserve">principle </w:t>
      </w:r>
      <w:r w:rsidR="00662367">
        <w:t>applies</w:t>
      </w:r>
      <w:r w:rsidR="00A65B56">
        <w:t xml:space="preserve"> equally to assurances given as to the conditions in which a returned </w:t>
      </w:r>
      <w:r w:rsidR="006D6ADF">
        <w:t xml:space="preserve">person will be held: see </w:t>
      </w:r>
      <w:proofErr w:type="spellStart"/>
      <w:r w:rsidR="006D6ADF" w:rsidRPr="000E14A0">
        <w:rPr>
          <w:i/>
          <w:iCs/>
        </w:rPr>
        <w:t>Zabolotnyi</w:t>
      </w:r>
      <w:proofErr w:type="spellEnd"/>
      <w:r w:rsidR="006D6ADF" w:rsidRPr="000E14A0">
        <w:rPr>
          <w:i/>
          <w:iCs/>
        </w:rPr>
        <w:t xml:space="preserve"> v </w:t>
      </w:r>
      <w:proofErr w:type="spellStart"/>
      <w:r w:rsidR="006D6ADF" w:rsidRPr="000E14A0">
        <w:rPr>
          <w:i/>
          <w:iCs/>
        </w:rPr>
        <w:t>Mareszalka</w:t>
      </w:r>
      <w:proofErr w:type="spellEnd"/>
      <w:r w:rsidR="006D6ADF" w:rsidRPr="000E14A0">
        <w:rPr>
          <w:i/>
          <w:iCs/>
        </w:rPr>
        <w:t xml:space="preserve"> District Court, Hungary</w:t>
      </w:r>
      <w:r w:rsidR="006D6ADF">
        <w:t xml:space="preserve"> [2021] </w:t>
      </w:r>
      <w:proofErr w:type="spellStart"/>
      <w:r w:rsidR="006D6ADF">
        <w:t>UKSC</w:t>
      </w:r>
      <w:proofErr w:type="spellEnd"/>
      <w:r w:rsidR="006D6ADF">
        <w:t xml:space="preserve"> 14; </w:t>
      </w:r>
      <w:r w:rsidR="000E14A0">
        <w:t>[2021] 1 W.L.R. 2569 at [31]-[34].</w:t>
      </w:r>
    </w:p>
    <w:p w14:paraId="609785CF" w14:textId="66904257" w:rsidR="0036503B" w:rsidRDefault="00E0544C" w:rsidP="00292AC4">
      <w:pPr>
        <w:pStyle w:val="ParaLevel1"/>
      </w:pPr>
      <w:r>
        <w:lastRenderedPageBreak/>
        <w:t xml:space="preserve">Overcrowding is </w:t>
      </w:r>
      <w:r w:rsidR="00877CC8">
        <w:t>one of the</w:t>
      </w:r>
      <w:r>
        <w:t xml:space="preserve"> common complaint</w:t>
      </w:r>
      <w:r w:rsidR="00725881">
        <w:t>s</w:t>
      </w:r>
      <w:r>
        <w:t xml:space="preserve"> in these case</w:t>
      </w:r>
      <w:r w:rsidR="005B09F4">
        <w:t>s</w:t>
      </w:r>
      <w:r>
        <w:t xml:space="preserve">. The relevant principles were explained in </w:t>
      </w:r>
      <w:proofErr w:type="spellStart"/>
      <w:r w:rsidRPr="00E0544C">
        <w:rPr>
          <w:i/>
          <w:iCs/>
        </w:rPr>
        <w:t>Mursic</w:t>
      </w:r>
      <w:proofErr w:type="spellEnd"/>
      <w:r w:rsidRPr="00E0544C">
        <w:rPr>
          <w:i/>
          <w:iCs/>
        </w:rPr>
        <w:t xml:space="preserve"> v Croatia</w:t>
      </w:r>
      <w:r>
        <w:rPr>
          <w:i/>
          <w:iCs/>
        </w:rPr>
        <w:t xml:space="preserve"> </w:t>
      </w:r>
      <w:r>
        <w:t xml:space="preserve">[2017] </w:t>
      </w:r>
      <w:r w:rsidR="00BF4A79">
        <w:t>65 EHHR1. There is a presumption that, where personal</w:t>
      </w:r>
      <w:r w:rsidR="00DD5189">
        <w:t xml:space="preserve"> space accorded to inmates falls below 3</w:t>
      </w:r>
      <w:r w:rsidR="008F3B00">
        <w:t xml:space="preserve"> </w:t>
      </w:r>
      <w:r w:rsidR="00DD5189">
        <w:t>sq</w:t>
      </w:r>
      <w:r w:rsidR="00841BC5">
        <w:t>uare metres</w:t>
      </w:r>
      <w:r w:rsidR="005B09F4">
        <w:t>,</w:t>
      </w:r>
      <w:r w:rsidR="00DD5189">
        <w:t xml:space="preserve"> there will be a breach of Article 3 unless there are </w:t>
      </w:r>
      <w:r w:rsidR="00A60DF1">
        <w:t>amelio</w:t>
      </w:r>
      <w:r w:rsidR="00EC6025">
        <w:t>r</w:t>
      </w:r>
      <w:r w:rsidR="00DD5189">
        <w:t>ating factors. Where the space is between 3 and 4</w:t>
      </w:r>
      <w:r w:rsidR="008F3B00">
        <w:t xml:space="preserve"> </w:t>
      </w:r>
      <w:r w:rsidR="00DD5189">
        <w:t>s</w:t>
      </w:r>
      <w:r w:rsidR="00841BC5">
        <w:t>quare metres</w:t>
      </w:r>
      <w:r w:rsidR="00DD5189">
        <w:t xml:space="preserve">, the court must examine the adequacy of other aspects of the conditions. </w:t>
      </w:r>
    </w:p>
    <w:p w14:paraId="26E38FAC" w14:textId="06680D11" w:rsidR="00725881" w:rsidRDefault="00EE1B02" w:rsidP="00292AC4">
      <w:pPr>
        <w:pStyle w:val="ParaLevel1"/>
      </w:pPr>
      <w:r>
        <w:t xml:space="preserve">Another common </w:t>
      </w:r>
      <w:r w:rsidR="00BE2A41">
        <w:t xml:space="preserve">area of </w:t>
      </w:r>
      <w:r>
        <w:t xml:space="preserve">concern </w:t>
      </w:r>
      <w:r w:rsidR="00BE2A41">
        <w:t xml:space="preserve">can be </w:t>
      </w:r>
      <w:r>
        <w:t xml:space="preserve">sanitary facilities. In </w:t>
      </w:r>
      <w:proofErr w:type="spellStart"/>
      <w:r w:rsidR="004D6709">
        <w:rPr>
          <w:i/>
          <w:iCs/>
        </w:rPr>
        <w:t>Neshkov</w:t>
      </w:r>
      <w:proofErr w:type="spellEnd"/>
      <w:r w:rsidR="004D6709">
        <w:rPr>
          <w:i/>
          <w:iCs/>
        </w:rPr>
        <w:t xml:space="preserve"> and others v Bulgaria </w:t>
      </w:r>
      <w:r w:rsidR="004D6709">
        <w:t xml:space="preserve">[2015] ECHR 77, this </w:t>
      </w:r>
      <w:r w:rsidR="00841BC5">
        <w:t xml:space="preserve">point </w:t>
      </w:r>
      <w:r w:rsidR="004D6709">
        <w:t>is dealt with at [231] and [240]-[243]</w:t>
      </w:r>
      <w:r w:rsidR="00AD1D04">
        <w:t xml:space="preserve">. </w:t>
      </w:r>
      <w:r w:rsidR="004D0161">
        <w:t xml:space="preserve">Issues such as a </w:t>
      </w:r>
      <w:r w:rsidR="00632BB7">
        <w:t>lack of privacy when using the toilet</w:t>
      </w:r>
      <w:r w:rsidR="00AA0F1B">
        <w:t>,</w:t>
      </w:r>
      <w:r w:rsidR="00632BB7">
        <w:t xml:space="preserve"> and </w:t>
      </w:r>
      <w:r w:rsidR="00701AAA">
        <w:t>infestation</w:t>
      </w:r>
      <w:r w:rsidR="00632BB7">
        <w:t xml:space="preserve"> </w:t>
      </w:r>
      <w:r w:rsidR="00701AAA">
        <w:t>with bed bugs and the like</w:t>
      </w:r>
      <w:r w:rsidR="00AD1D04">
        <w:t>,</w:t>
      </w:r>
      <w:r w:rsidR="00701AAA">
        <w:t xml:space="preserve"> are potentially relevant matters </w:t>
      </w:r>
      <w:r w:rsidR="00366B9B">
        <w:t xml:space="preserve">which may cumulatively give rise to a breach of Article 3. </w:t>
      </w:r>
      <w:r w:rsidR="00F95397">
        <w:t xml:space="preserve">With the exception of </w:t>
      </w:r>
      <w:r w:rsidR="00181267">
        <w:t>t</w:t>
      </w:r>
      <w:r w:rsidR="00181F3D">
        <w:t xml:space="preserve">he space issue, </w:t>
      </w:r>
      <w:r w:rsidR="009E5301">
        <w:t>n</w:t>
      </w:r>
      <w:r w:rsidR="00366B9B">
        <w:t>one of the</w:t>
      </w:r>
      <w:r w:rsidR="002B3B7C">
        <w:t xml:space="preserve"> other </w:t>
      </w:r>
      <w:r w:rsidR="00C27DD2">
        <w:t>concerns</w:t>
      </w:r>
      <w:r w:rsidR="00BB6BF2">
        <w:t xml:space="preserve"> identified </w:t>
      </w:r>
      <w:r w:rsidR="00AA0F1B">
        <w:t xml:space="preserve">in the </w:t>
      </w:r>
      <w:proofErr w:type="spellStart"/>
      <w:r w:rsidR="00F95397" w:rsidRPr="00F95397">
        <w:rPr>
          <w:i/>
          <w:iCs/>
        </w:rPr>
        <w:t>Neshkov</w:t>
      </w:r>
      <w:proofErr w:type="spellEnd"/>
      <w:r w:rsidR="00F95397">
        <w:t xml:space="preserve"> </w:t>
      </w:r>
      <w:r w:rsidR="00AA0F1B">
        <w:t xml:space="preserve">judgment </w:t>
      </w:r>
      <w:r w:rsidR="00BB6BF2">
        <w:t xml:space="preserve">are </w:t>
      </w:r>
      <w:r w:rsidR="001E7690">
        <w:t xml:space="preserve">necessarily </w:t>
      </w:r>
      <w:r w:rsidR="00BB6BF2">
        <w:t>decisive on their own</w:t>
      </w:r>
      <w:r w:rsidR="00AA0F1B">
        <w:t>: w</w:t>
      </w:r>
      <w:r w:rsidR="00BB6BF2">
        <w:t xml:space="preserve">hat matters </w:t>
      </w:r>
      <w:r w:rsidR="000236AB">
        <w:t>is the</w:t>
      </w:r>
      <w:r w:rsidR="001E7690">
        <w:t>ir</w:t>
      </w:r>
      <w:r w:rsidR="000236AB">
        <w:t xml:space="preserve"> </w:t>
      </w:r>
      <w:r w:rsidR="00A22140">
        <w:t xml:space="preserve">nature and scope in any given case, and their </w:t>
      </w:r>
      <w:r w:rsidR="000236AB">
        <w:t>cumulative effect.</w:t>
      </w:r>
    </w:p>
    <w:p w14:paraId="7BB81921" w14:textId="10E6E656" w:rsidR="005D5697" w:rsidRDefault="00060AC2" w:rsidP="00292AC4">
      <w:pPr>
        <w:pStyle w:val="ParaLevel1"/>
      </w:pPr>
      <w:r>
        <w:t>W</w:t>
      </w:r>
      <w:r w:rsidR="00B17DAF">
        <w:t xml:space="preserve">here the requesting territory has made it plain that the individual will be detained at a particular prison, it is the conditions in that prison that matters: see </w:t>
      </w:r>
      <w:r w:rsidR="00651664">
        <w:rPr>
          <w:i/>
          <w:iCs/>
        </w:rPr>
        <w:t>Case C</w:t>
      </w:r>
      <w:r w:rsidR="00B17DAF">
        <w:rPr>
          <w:i/>
          <w:iCs/>
        </w:rPr>
        <w:t>-220/</w:t>
      </w:r>
      <w:r w:rsidR="00086B76">
        <w:rPr>
          <w:i/>
          <w:iCs/>
        </w:rPr>
        <w:t>18</w:t>
      </w:r>
      <w:r w:rsidR="00EC6025">
        <w:rPr>
          <w:i/>
          <w:iCs/>
        </w:rPr>
        <w:t xml:space="preserve"> </w:t>
      </w:r>
      <w:proofErr w:type="spellStart"/>
      <w:r w:rsidR="00086B76">
        <w:rPr>
          <w:i/>
          <w:iCs/>
        </w:rPr>
        <w:t>PPU</w:t>
      </w:r>
      <w:proofErr w:type="spellEnd"/>
      <w:r w:rsidR="00413644">
        <w:rPr>
          <w:i/>
          <w:iCs/>
        </w:rPr>
        <w:t xml:space="preserve"> ML v </w:t>
      </w:r>
      <w:proofErr w:type="spellStart"/>
      <w:r w:rsidR="00413644">
        <w:rPr>
          <w:i/>
          <w:iCs/>
        </w:rPr>
        <w:t>Generalstaatsanwaltschaf</w:t>
      </w:r>
      <w:r w:rsidR="0036503B">
        <w:rPr>
          <w:i/>
          <w:iCs/>
        </w:rPr>
        <w:t>t</w:t>
      </w:r>
      <w:proofErr w:type="spellEnd"/>
      <w:r w:rsidR="0036503B">
        <w:rPr>
          <w:i/>
          <w:iCs/>
        </w:rPr>
        <w:t xml:space="preserve"> Bremen</w:t>
      </w:r>
      <w:r w:rsidR="00086B76">
        <w:rPr>
          <w:i/>
          <w:iCs/>
        </w:rPr>
        <w:t>.</w:t>
      </w:r>
      <w:r w:rsidR="00086B76">
        <w:t xml:space="preserve"> At [87] the </w:t>
      </w:r>
      <w:proofErr w:type="spellStart"/>
      <w:r w:rsidR="00086B76">
        <w:t>CJ</w:t>
      </w:r>
      <w:r w:rsidR="00235512">
        <w:t>EU</w:t>
      </w:r>
      <w:proofErr w:type="spellEnd"/>
      <w:r w:rsidR="00235512">
        <w:t xml:space="preserve"> said</w:t>
      </w:r>
      <w:r w:rsidR="006B51D6">
        <w:t xml:space="preserve"> unequivocally </w:t>
      </w:r>
      <w:r w:rsidR="00235512">
        <w:t>that the court is “solely required to assess the conditions of detention in the prisons in which, according to the information available to them, it is actually intended the person concerned will be detained.”</w:t>
      </w:r>
      <w:r w:rsidR="00BF3A39">
        <w:t xml:space="preserve"> </w:t>
      </w:r>
      <w:r w:rsidR="0008439A">
        <w:t xml:space="preserve">This is a part of the court’s obligation, in the words of the </w:t>
      </w:r>
      <w:proofErr w:type="spellStart"/>
      <w:r w:rsidR="0008439A">
        <w:t>C</w:t>
      </w:r>
      <w:r w:rsidR="00724A73">
        <w:t>JEU</w:t>
      </w:r>
      <w:proofErr w:type="spellEnd"/>
      <w:r w:rsidR="00724A73">
        <w:t xml:space="preserve">, </w:t>
      </w:r>
      <w:r w:rsidR="00F44FB4">
        <w:t>“</w:t>
      </w:r>
      <w:r w:rsidR="00724A73">
        <w:t xml:space="preserve">to determine, specifically and precisely, whether, in </w:t>
      </w:r>
      <w:r w:rsidR="00F44FB4">
        <w:t>the</w:t>
      </w:r>
      <w:r w:rsidR="00724A73">
        <w:t xml:space="preserve"> particular circumstances of the case</w:t>
      </w:r>
      <w:r w:rsidR="00F44FB4">
        <w:t>,” substantial grounds exist to deny extradition.</w:t>
      </w:r>
    </w:p>
    <w:p w14:paraId="48136792" w14:textId="79FE5FC1" w:rsidR="00DF431D" w:rsidRPr="00DF431D" w:rsidRDefault="00D703CC" w:rsidP="00292AC4">
      <w:pPr>
        <w:pStyle w:val="ParaLevel1"/>
        <w:numPr>
          <w:ilvl w:val="0"/>
          <w:numId w:val="0"/>
        </w:numPr>
        <w:rPr>
          <w:i/>
          <w:iCs/>
        </w:rPr>
      </w:pPr>
      <w:r>
        <w:rPr>
          <w:i/>
          <w:iCs/>
        </w:rPr>
        <w:t>Prison Conditions</w:t>
      </w:r>
      <w:r w:rsidR="00DF431D" w:rsidRPr="00DF431D">
        <w:rPr>
          <w:i/>
          <w:iCs/>
        </w:rPr>
        <w:t xml:space="preserve"> in Bulgaria</w:t>
      </w:r>
    </w:p>
    <w:p w14:paraId="56B0699F" w14:textId="758FFB9A" w:rsidR="00BF3A39" w:rsidRDefault="00BF3A39" w:rsidP="00292AC4">
      <w:pPr>
        <w:pStyle w:val="ParaLevel1"/>
      </w:pPr>
      <w:r>
        <w:t xml:space="preserve">Bulgarian prisons </w:t>
      </w:r>
      <w:r w:rsidR="006C031B">
        <w:t>were</w:t>
      </w:r>
      <w:r>
        <w:t xml:space="preserve"> </w:t>
      </w:r>
      <w:r w:rsidR="003E69E1">
        <w:t xml:space="preserve">the </w:t>
      </w:r>
      <w:r>
        <w:t xml:space="preserve">subject of adverse </w:t>
      </w:r>
      <w:r w:rsidR="003E69E1">
        <w:t xml:space="preserve">comment and </w:t>
      </w:r>
      <w:r>
        <w:t xml:space="preserve">findings in other </w:t>
      </w:r>
      <w:r w:rsidR="005D62F0">
        <w:t>cases, beginning with the adverse pilot judgment</w:t>
      </w:r>
      <w:r w:rsidR="00D3152C">
        <w:t xml:space="preserve"> of the Strasbourg court</w:t>
      </w:r>
      <w:r w:rsidR="005D62F0">
        <w:t xml:space="preserve"> in </w:t>
      </w:r>
      <w:proofErr w:type="spellStart"/>
      <w:r w:rsidR="005D62F0">
        <w:rPr>
          <w:i/>
          <w:iCs/>
        </w:rPr>
        <w:t>Neshkov</w:t>
      </w:r>
      <w:proofErr w:type="spellEnd"/>
      <w:r w:rsidR="00D56886">
        <w:t>. In domestic law</w:t>
      </w:r>
      <w:r w:rsidR="006C031B">
        <w:t>,</w:t>
      </w:r>
      <w:r w:rsidR="00D56886">
        <w:t xml:space="preserve"> this has meant that assurances are required in every case in which extradition is </w:t>
      </w:r>
      <w:r w:rsidR="00CD2063">
        <w:t xml:space="preserve">sought </w:t>
      </w:r>
      <w:r w:rsidR="00D56886">
        <w:t>to Bulgaria</w:t>
      </w:r>
      <w:r w:rsidR="00DA3E4B">
        <w:t>. In the first such case,</w:t>
      </w:r>
      <w:r w:rsidR="00D56886">
        <w:t xml:space="preserve"> </w:t>
      </w:r>
      <w:proofErr w:type="spellStart"/>
      <w:r w:rsidR="00426C0F">
        <w:rPr>
          <w:i/>
          <w:iCs/>
        </w:rPr>
        <w:t>Vasilev</w:t>
      </w:r>
      <w:proofErr w:type="spellEnd"/>
      <w:r w:rsidR="00426C0F">
        <w:rPr>
          <w:i/>
          <w:iCs/>
        </w:rPr>
        <w:t xml:space="preserve"> v Regional Prosecut</w:t>
      </w:r>
      <w:r w:rsidR="00ED060A">
        <w:rPr>
          <w:i/>
          <w:iCs/>
        </w:rPr>
        <w:t>o</w:t>
      </w:r>
      <w:r w:rsidR="00426C0F">
        <w:rPr>
          <w:i/>
          <w:iCs/>
        </w:rPr>
        <w:t xml:space="preserve">r’s Office, </w:t>
      </w:r>
      <w:proofErr w:type="spellStart"/>
      <w:r w:rsidR="00426C0F">
        <w:rPr>
          <w:i/>
          <w:iCs/>
        </w:rPr>
        <w:t>Sili</w:t>
      </w:r>
      <w:r w:rsidR="00C044A3">
        <w:rPr>
          <w:i/>
          <w:iCs/>
        </w:rPr>
        <w:t>stra</w:t>
      </w:r>
      <w:proofErr w:type="spellEnd"/>
      <w:r w:rsidR="00C044A3">
        <w:rPr>
          <w:i/>
          <w:iCs/>
        </w:rPr>
        <w:t xml:space="preserve">, Bulgaria </w:t>
      </w:r>
      <w:r w:rsidR="00C044A3">
        <w:t xml:space="preserve"> [2016] </w:t>
      </w:r>
      <w:proofErr w:type="spellStart"/>
      <w:r w:rsidR="00C044A3">
        <w:t>EWHC</w:t>
      </w:r>
      <w:proofErr w:type="spellEnd"/>
      <w:r w:rsidR="00C044A3">
        <w:t xml:space="preserve"> 1405 (Admin)</w:t>
      </w:r>
      <w:r w:rsidR="00A8429E">
        <w:t xml:space="preserve">, </w:t>
      </w:r>
      <w:r w:rsidR="00DA3E4B">
        <w:t xml:space="preserve">Burnett LJ </w:t>
      </w:r>
      <w:r w:rsidR="003163F9">
        <w:t xml:space="preserve">(as he then was) </w:t>
      </w:r>
      <w:r w:rsidR="006A22EF">
        <w:t>made clear that there was a real risk of breach in the absence of the assurance sought and provided.</w:t>
      </w:r>
      <w:r w:rsidR="00D812C8">
        <w:t xml:space="preserve"> That has remained the position</w:t>
      </w:r>
      <w:r w:rsidR="00C6452E">
        <w:t xml:space="preserve"> for all </w:t>
      </w:r>
      <w:r w:rsidR="00D3152C">
        <w:t xml:space="preserve">Bulgarian </w:t>
      </w:r>
      <w:r w:rsidR="00C6452E">
        <w:t xml:space="preserve">extradition </w:t>
      </w:r>
      <w:r w:rsidR="00D6341E">
        <w:t>applications in the UK</w:t>
      </w:r>
      <w:r w:rsidR="00D878FF">
        <w:t>.</w:t>
      </w:r>
      <w:r w:rsidR="0060561B">
        <w:t xml:space="preserve"> </w:t>
      </w:r>
      <w:r w:rsidR="00D90A45">
        <w:t xml:space="preserve">I think that </w:t>
      </w:r>
      <w:r w:rsidR="00A5325E">
        <w:t>Mr Owen</w:t>
      </w:r>
      <w:r w:rsidR="0060561B">
        <w:t xml:space="preserve"> is therefore right to say that</w:t>
      </w:r>
      <w:r w:rsidR="004873DA">
        <w:t>, in consequence,</w:t>
      </w:r>
      <w:r w:rsidR="0060561B">
        <w:t xml:space="preserve"> </w:t>
      </w:r>
      <w:r w:rsidR="00EF07E2">
        <w:t xml:space="preserve">the case falls to be decided under the third of the three stages identified in </w:t>
      </w:r>
      <w:proofErr w:type="spellStart"/>
      <w:r w:rsidR="00276C9F" w:rsidRPr="003D4930">
        <w:rPr>
          <w:i/>
          <w:iCs/>
        </w:rPr>
        <w:t>Aranyosi</w:t>
      </w:r>
      <w:proofErr w:type="spellEnd"/>
      <w:r w:rsidR="00276C9F">
        <w:t xml:space="preserve"> (EU:</w:t>
      </w:r>
      <w:r w:rsidR="00E04046">
        <w:t xml:space="preserve">C:2016:140, </w:t>
      </w:r>
      <w:r w:rsidR="003D4930">
        <w:t>[</w:t>
      </w:r>
      <w:r w:rsidR="00E04046">
        <w:t>2016] QB 921</w:t>
      </w:r>
      <w:r w:rsidR="003D4930">
        <w:t>).</w:t>
      </w:r>
    </w:p>
    <w:p w14:paraId="2C5BEF1C" w14:textId="2412E4A4" w:rsidR="008C2597" w:rsidRDefault="00621E8D" w:rsidP="00292AC4">
      <w:pPr>
        <w:pStyle w:val="ParaLevel1"/>
      </w:pPr>
      <w:r>
        <w:t xml:space="preserve">There is a presumption that an assurance </w:t>
      </w:r>
      <w:r w:rsidR="00CF2C1D">
        <w:t xml:space="preserve">given by a Council of Europe State will be complied with </w:t>
      </w:r>
      <w:r w:rsidR="0009643E">
        <w:t>unless there is cogent evidence to the contrary</w:t>
      </w:r>
      <w:r w:rsidR="00597AE7">
        <w:t xml:space="preserve">: </w:t>
      </w:r>
      <w:r w:rsidR="00597AE7">
        <w:rPr>
          <w:i/>
          <w:iCs/>
        </w:rPr>
        <w:t>Ilia v Greece</w:t>
      </w:r>
      <w:r w:rsidR="00597AE7">
        <w:t xml:space="preserve"> [2015] </w:t>
      </w:r>
      <w:proofErr w:type="spellStart"/>
      <w:r w:rsidR="00597AE7">
        <w:t>EWHC</w:t>
      </w:r>
      <w:proofErr w:type="spellEnd"/>
      <w:r w:rsidR="00597AE7">
        <w:t xml:space="preserve"> 547 (Admin) at [40], </w:t>
      </w:r>
      <w:r w:rsidR="002F6CA9">
        <w:t xml:space="preserve">affirmed by the Supreme Court in </w:t>
      </w:r>
      <w:proofErr w:type="spellStart"/>
      <w:r w:rsidR="002F6CA9">
        <w:rPr>
          <w:i/>
          <w:iCs/>
        </w:rPr>
        <w:t>Zabolotnyi</w:t>
      </w:r>
      <w:proofErr w:type="spellEnd"/>
      <w:r w:rsidR="00FA6B7A">
        <w:t xml:space="preserve"> at [</w:t>
      </w:r>
      <w:r w:rsidR="00C4342F">
        <w:t>44].</w:t>
      </w:r>
      <w:r w:rsidR="00A04F7A">
        <w:t xml:space="preserve"> </w:t>
      </w:r>
      <w:r w:rsidR="00747B81">
        <w:t>B</w:t>
      </w:r>
      <w:r w:rsidR="008C2597">
        <w:t xml:space="preserve">ecause the assurances here were provided by </w:t>
      </w:r>
      <w:r w:rsidR="00305172">
        <w:t xml:space="preserve">the Bulgarian Ministry of Justice, not a judicial authority, </w:t>
      </w:r>
      <w:r w:rsidR="00F80DCE">
        <w:t xml:space="preserve">they are not the subject of </w:t>
      </w:r>
      <w:r w:rsidR="00262C14">
        <w:t>that</w:t>
      </w:r>
      <w:r w:rsidR="00F80DCE">
        <w:t xml:space="preserve"> presumption</w:t>
      </w:r>
      <w:r w:rsidR="00262C14">
        <w:t>,</w:t>
      </w:r>
      <w:r w:rsidR="00F80DCE">
        <w:t xml:space="preserve"> </w:t>
      </w:r>
      <w:r w:rsidR="00746671">
        <w:t xml:space="preserve">but are </w:t>
      </w:r>
      <w:r w:rsidR="005B7C89">
        <w:t xml:space="preserve">instead </w:t>
      </w:r>
      <w:r w:rsidR="00746671">
        <w:t>to be evaluated as part of the court’s overall assessment (</w:t>
      </w:r>
      <w:proofErr w:type="spellStart"/>
      <w:r w:rsidR="00746671" w:rsidRPr="007604E9">
        <w:rPr>
          <w:i/>
          <w:iCs/>
        </w:rPr>
        <w:t>Z</w:t>
      </w:r>
      <w:r w:rsidR="007604E9" w:rsidRPr="007604E9">
        <w:rPr>
          <w:i/>
          <w:iCs/>
        </w:rPr>
        <w:t>abolotnyi</w:t>
      </w:r>
      <w:proofErr w:type="spellEnd"/>
      <w:r w:rsidR="007604E9">
        <w:t xml:space="preserve"> at [34] and [42]).</w:t>
      </w:r>
      <w:r w:rsidR="00747B81">
        <w:t xml:space="preserve"> </w:t>
      </w:r>
      <w:r w:rsidR="005B7C89">
        <w:t>However,</w:t>
      </w:r>
      <w:r w:rsidR="00C54C9C">
        <w:t xml:space="preserve"> a</w:t>
      </w:r>
      <w:r w:rsidR="001E7690">
        <w:t>s</w:t>
      </w:r>
      <w:r w:rsidR="00DE5805">
        <w:t xml:space="preserve"> Mr Hines </w:t>
      </w:r>
      <w:r w:rsidR="00A9693F">
        <w:t>noted</w:t>
      </w:r>
      <w:r w:rsidR="00DE5805">
        <w:t xml:space="preserve">, no point is taken by the appellant in this case as to the </w:t>
      </w:r>
      <w:r w:rsidR="004A6BAD">
        <w:t xml:space="preserve">proper </w:t>
      </w:r>
      <w:r w:rsidR="00F842F2">
        <w:t>authorit</w:t>
      </w:r>
      <w:r w:rsidR="00B84ACA">
        <w:t>y</w:t>
      </w:r>
      <w:r w:rsidR="00F842F2">
        <w:t xml:space="preserve"> of the Bulgarian Ministry of Justice</w:t>
      </w:r>
      <w:r w:rsidR="004A6BAD">
        <w:t xml:space="preserve"> to provide these assurances</w:t>
      </w:r>
      <w:r w:rsidR="00F842F2">
        <w:t>.</w:t>
      </w:r>
    </w:p>
    <w:p w14:paraId="17C9E0E0" w14:textId="3CD7581C" w:rsidR="003A5AE5" w:rsidRDefault="00A04F7A" w:rsidP="00292AC4">
      <w:pPr>
        <w:pStyle w:val="ParaLevel1"/>
      </w:pPr>
      <w:r>
        <w:t xml:space="preserve">Breaches of past assurances will be relevant to an assessment of reliability: </w:t>
      </w:r>
      <w:r w:rsidR="00831606">
        <w:rPr>
          <w:i/>
          <w:iCs/>
        </w:rPr>
        <w:t>Duarte v Portugal</w:t>
      </w:r>
      <w:r w:rsidR="00831606">
        <w:t xml:space="preserve"> [20189] </w:t>
      </w:r>
      <w:proofErr w:type="spellStart"/>
      <w:r w:rsidR="00831606">
        <w:t>EWHC</w:t>
      </w:r>
      <w:proofErr w:type="spellEnd"/>
      <w:r w:rsidR="00831606">
        <w:t xml:space="preserve"> 2995 (Admin) at [44]</w:t>
      </w:r>
      <w:r w:rsidR="0059246B">
        <w:t>;</w:t>
      </w:r>
      <w:r w:rsidR="00831606">
        <w:t xml:space="preserve"> </w:t>
      </w:r>
      <w:proofErr w:type="spellStart"/>
      <w:r w:rsidR="00831606">
        <w:rPr>
          <w:i/>
          <w:iCs/>
        </w:rPr>
        <w:t>Georgiev</w:t>
      </w:r>
      <w:proofErr w:type="spellEnd"/>
      <w:r w:rsidR="00715C81" w:rsidRPr="00715C81">
        <w:rPr>
          <w:i/>
          <w:iCs/>
        </w:rPr>
        <w:t xml:space="preserve"> </w:t>
      </w:r>
      <w:r w:rsidR="00715C81">
        <w:rPr>
          <w:i/>
          <w:iCs/>
        </w:rPr>
        <w:t>v Bulgaria</w:t>
      </w:r>
      <w:r w:rsidR="00715C81">
        <w:t xml:space="preserve"> [2108] </w:t>
      </w:r>
      <w:proofErr w:type="spellStart"/>
      <w:r w:rsidR="00715C81">
        <w:t>EWHC</w:t>
      </w:r>
      <w:proofErr w:type="spellEnd"/>
      <w:r w:rsidR="00715C81">
        <w:t xml:space="preserve"> 359 (Admin)</w:t>
      </w:r>
      <w:r w:rsidR="00831606">
        <w:rPr>
          <w:i/>
          <w:iCs/>
        </w:rPr>
        <w:t xml:space="preserve"> </w:t>
      </w:r>
      <w:r w:rsidR="00F93BC5">
        <w:t>at</w:t>
      </w:r>
      <w:r w:rsidR="00AD60AF">
        <w:t xml:space="preserve"> [61]</w:t>
      </w:r>
      <w:r w:rsidR="00715C81">
        <w:t>;</w:t>
      </w:r>
      <w:r w:rsidR="00AD60AF">
        <w:t xml:space="preserve"> and the Suprem</w:t>
      </w:r>
      <w:r w:rsidR="004E6A88">
        <w:t>e</w:t>
      </w:r>
      <w:r w:rsidR="00AD60AF">
        <w:t xml:space="preserve"> Court in </w:t>
      </w:r>
      <w:proofErr w:type="spellStart"/>
      <w:r w:rsidR="00AD60AF" w:rsidRPr="004E6A88">
        <w:rPr>
          <w:i/>
          <w:iCs/>
        </w:rPr>
        <w:t>Zabol</w:t>
      </w:r>
      <w:r w:rsidR="004E6A88" w:rsidRPr="004E6A88">
        <w:rPr>
          <w:i/>
          <w:iCs/>
        </w:rPr>
        <w:t>otnyi</w:t>
      </w:r>
      <w:proofErr w:type="spellEnd"/>
      <w:r w:rsidR="004E6A88">
        <w:t xml:space="preserve"> at [46]. In that paragraph</w:t>
      </w:r>
      <w:r w:rsidR="00030158">
        <w:t>,</w:t>
      </w:r>
      <w:r w:rsidR="004E6A88">
        <w:t xml:space="preserve"> the Supreme Court made plain that the weight to be attached to a previous breach of assurance would </w:t>
      </w:r>
      <w:r w:rsidR="0087587B">
        <w:t xml:space="preserve">be likely to </w:t>
      </w:r>
      <w:r w:rsidR="004E6A88">
        <w:t>vary from case to case.</w:t>
      </w:r>
    </w:p>
    <w:p w14:paraId="3640B976" w14:textId="3E2C9013" w:rsidR="00E77D3E" w:rsidRDefault="0046280E" w:rsidP="00292AC4">
      <w:pPr>
        <w:pStyle w:val="ParaLevel1"/>
      </w:pPr>
      <w:r>
        <w:lastRenderedPageBreak/>
        <w:t xml:space="preserve">There have been a number of cases in which assurances </w:t>
      </w:r>
      <w:r w:rsidR="0087587B">
        <w:t xml:space="preserve">from Bulgarian authorities </w:t>
      </w:r>
      <w:r>
        <w:t xml:space="preserve">have been provided and accepted, and other cases where </w:t>
      </w:r>
      <w:r w:rsidR="000D0901">
        <w:t xml:space="preserve">assurances have been </w:t>
      </w:r>
      <w:r w:rsidR="001C5668">
        <w:t>considered inadequate</w:t>
      </w:r>
      <w:r w:rsidR="008474D8">
        <w:t xml:space="preserve"> b</w:t>
      </w:r>
      <w:r w:rsidR="000D0901">
        <w:t>ut where, ultimately, the extradition has been permitted to continue</w:t>
      </w:r>
      <w:r w:rsidR="0009309F">
        <w:t xml:space="preserve">. These include </w:t>
      </w:r>
      <w:proofErr w:type="spellStart"/>
      <w:r w:rsidR="0009309F">
        <w:rPr>
          <w:i/>
          <w:iCs/>
        </w:rPr>
        <w:t>Kirchanov</w:t>
      </w:r>
      <w:proofErr w:type="spellEnd"/>
      <w:r w:rsidR="0009309F">
        <w:rPr>
          <w:i/>
          <w:iCs/>
        </w:rPr>
        <w:t xml:space="preserve"> v Bulgaria</w:t>
      </w:r>
      <w:r w:rsidR="0009309F">
        <w:t xml:space="preserve"> [2017] </w:t>
      </w:r>
      <w:proofErr w:type="spellStart"/>
      <w:r w:rsidR="0009309F">
        <w:t>EWHC</w:t>
      </w:r>
      <w:proofErr w:type="spellEnd"/>
      <w:r w:rsidR="0009309F">
        <w:t xml:space="preserve"> 827</w:t>
      </w:r>
      <w:r w:rsidR="002F1CBF">
        <w:t xml:space="preserve"> (Admin) (“</w:t>
      </w:r>
      <w:proofErr w:type="spellStart"/>
      <w:r w:rsidR="002F1CBF" w:rsidRPr="00666CF3">
        <w:rPr>
          <w:i/>
          <w:iCs/>
        </w:rPr>
        <w:t>Kirchanov</w:t>
      </w:r>
      <w:proofErr w:type="spellEnd"/>
      <w:r w:rsidR="002F1CBF">
        <w:t xml:space="preserve"> 1”) and </w:t>
      </w:r>
      <w:proofErr w:type="spellStart"/>
      <w:r w:rsidR="00100517">
        <w:rPr>
          <w:i/>
          <w:iCs/>
        </w:rPr>
        <w:t>Kirchano</w:t>
      </w:r>
      <w:r w:rsidR="00D703CC">
        <w:rPr>
          <w:i/>
          <w:iCs/>
        </w:rPr>
        <w:t>v</w:t>
      </w:r>
      <w:proofErr w:type="spellEnd"/>
      <w:r w:rsidR="00100517">
        <w:rPr>
          <w:i/>
          <w:iCs/>
        </w:rPr>
        <w:t xml:space="preserve"> v Bulgaria </w:t>
      </w:r>
      <w:r w:rsidR="00100517">
        <w:t>[2</w:t>
      </w:r>
      <w:r w:rsidR="00DC34AD">
        <w:t>01</w:t>
      </w:r>
      <w:r w:rsidR="00100517">
        <w:t xml:space="preserve">7] </w:t>
      </w:r>
      <w:proofErr w:type="spellStart"/>
      <w:r w:rsidR="00100517">
        <w:t>EWHC</w:t>
      </w:r>
      <w:proofErr w:type="spellEnd"/>
      <w:r w:rsidR="00100517">
        <w:t xml:space="preserve"> 1285 (Admin) (“</w:t>
      </w:r>
      <w:proofErr w:type="spellStart"/>
      <w:r w:rsidR="00100517" w:rsidRPr="00666CF3">
        <w:rPr>
          <w:i/>
          <w:iCs/>
        </w:rPr>
        <w:t>Kirchanov</w:t>
      </w:r>
      <w:proofErr w:type="spellEnd"/>
      <w:r w:rsidR="00100517">
        <w:t xml:space="preserve"> 2”)</w:t>
      </w:r>
      <w:r w:rsidR="00443B2F">
        <w:t xml:space="preserve">, where the </w:t>
      </w:r>
      <w:r w:rsidR="00030158">
        <w:t xml:space="preserve">original </w:t>
      </w:r>
      <w:r w:rsidR="00443B2F">
        <w:t xml:space="preserve">assurances were </w:t>
      </w:r>
      <w:r w:rsidR="00030158">
        <w:t>inadequate</w:t>
      </w:r>
      <w:r w:rsidR="00443B2F">
        <w:t xml:space="preserve"> but</w:t>
      </w:r>
      <w:r w:rsidR="00030158">
        <w:t xml:space="preserve"> where</w:t>
      </w:r>
      <w:r w:rsidR="00443B2F">
        <w:t xml:space="preserve">, after a second attempt, they were accepted and the appeals </w:t>
      </w:r>
      <w:r w:rsidR="00030158">
        <w:t xml:space="preserve">against extradition </w:t>
      </w:r>
      <w:r w:rsidR="00443B2F">
        <w:t xml:space="preserve">were dismissed: see </w:t>
      </w:r>
      <w:proofErr w:type="spellStart"/>
      <w:r w:rsidR="00443B2F" w:rsidRPr="00443B2F">
        <w:rPr>
          <w:i/>
          <w:iCs/>
        </w:rPr>
        <w:t>Kirchanov</w:t>
      </w:r>
      <w:proofErr w:type="spellEnd"/>
      <w:r w:rsidR="00443B2F" w:rsidRPr="00443B2F">
        <w:rPr>
          <w:i/>
          <w:iCs/>
        </w:rPr>
        <w:t xml:space="preserve"> v Bulgaria</w:t>
      </w:r>
      <w:r w:rsidR="00443B2F">
        <w:rPr>
          <w:i/>
          <w:iCs/>
        </w:rPr>
        <w:t xml:space="preserve"> </w:t>
      </w:r>
      <w:r w:rsidR="00443B2F">
        <w:t>[2</w:t>
      </w:r>
      <w:r w:rsidR="00DC34AD">
        <w:t>01</w:t>
      </w:r>
      <w:r w:rsidR="00443B2F">
        <w:t xml:space="preserve">7] </w:t>
      </w:r>
      <w:proofErr w:type="spellStart"/>
      <w:r w:rsidR="00443B2F">
        <w:t>EWHC</w:t>
      </w:r>
      <w:proofErr w:type="spellEnd"/>
      <w:r w:rsidR="00443B2F">
        <w:t xml:space="preserve"> </w:t>
      </w:r>
      <w:r w:rsidR="00AB7D30">
        <w:t>(Admin) 2048 (“</w:t>
      </w:r>
      <w:proofErr w:type="spellStart"/>
      <w:r w:rsidR="00AB7D30" w:rsidRPr="00666CF3">
        <w:rPr>
          <w:i/>
          <w:iCs/>
        </w:rPr>
        <w:t>Kirchanov</w:t>
      </w:r>
      <w:proofErr w:type="spellEnd"/>
      <w:r w:rsidR="00AB7D30">
        <w:t xml:space="preserve"> 3”). </w:t>
      </w:r>
    </w:p>
    <w:p w14:paraId="5BD9B845" w14:textId="652E0DCB" w:rsidR="00D85DD0" w:rsidRDefault="00C0428F" w:rsidP="00292AC4">
      <w:pPr>
        <w:pStyle w:val="ParaLevel1"/>
      </w:pPr>
      <w:r>
        <w:t xml:space="preserve">It is worth pausing there just to note the nature of the </w:t>
      </w:r>
      <w:r w:rsidR="00014C55">
        <w:t>original inadequacies of the assurances given in that case. Amongst other things, it was not di</w:t>
      </w:r>
      <w:r w:rsidR="00982EB8">
        <w:t>s</w:t>
      </w:r>
      <w:r w:rsidR="00014C55">
        <w:t>puted that the requested person would be held in a pri</w:t>
      </w:r>
      <w:r w:rsidR="00982EB8">
        <w:t>s</w:t>
      </w:r>
      <w:r w:rsidR="00014C55">
        <w:t xml:space="preserve">on where there was no access to toilets between 8pm and 6am, and where the space was </w:t>
      </w:r>
      <w:r w:rsidR="00982EB8">
        <w:t>no more than 2 sq</w:t>
      </w:r>
      <w:r w:rsidR="000C1DF3">
        <w:t>uare metres per</w:t>
      </w:r>
      <w:r w:rsidR="00982EB8">
        <w:t xml:space="preserve"> prisoner. It was therefore unsurprising that the court </w:t>
      </w:r>
      <w:r w:rsidR="00496E38">
        <w:t xml:space="preserve">originally </w:t>
      </w:r>
      <w:r w:rsidR="00982EB8">
        <w:t xml:space="preserve">refused to order extradition. </w:t>
      </w:r>
    </w:p>
    <w:p w14:paraId="6F74792A" w14:textId="5283ACBD" w:rsidR="00862DFA" w:rsidRDefault="003F7EB7" w:rsidP="00292AC4">
      <w:pPr>
        <w:pStyle w:val="ParaLevel1"/>
      </w:pPr>
      <w:r>
        <w:t>I</w:t>
      </w:r>
      <w:r w:rsidR="00AB7D30">
        <w:t xml:space="preserve">n </w:t>
      </w:r>
      <w:proofErr w:type="spellStart"/>
      <w:r w:rsidR="00742A74">
        <w:rPr>
          <w:i/>
          <w:iCs/>
        </w:rPr>
        <w:t>Georgiev</w:t>
      </w:r>
      <w:proofErr w:type="spellEnd"/>
      <w:r>
        <w:t>,</w:t>
      </w:r>
      <w:r w:rsidR="009C07A5">
        <w:t xml:space="preserve"> this court embark</w:t>
      </w:r>
      <w:r w:rsidR="00FB46CC">
        <w:t>ed</w:t>
      </w:r>
      <w:r w:rsidR="009C07A5">
        <w:t xml:space="preserve"> on a</w:t>
      </w:r>
      <w:r w:rsidR="00FB46CC">
        <w:t>n</w:t>
      </w:r>
      <w:r w:rsidR="009C07A5">
        <w:t xml:space="preserve"> analysis of </w:t>
      </w:r>
      <w:r w:rsidR="00387B32">
        <w:t xml:space="preserve">the </w:t>
      </w:r>
      <w:r w:rsidR="00C00107">
        <w:t xml:space="preserve">historic </w:t>
      </w:r>
      <w:r w:rsidR="00387B32">
        <w:t xml:space="preserve">events surrounding </w:t>
      </w:r>
      <w:r w:rsidR="009C07A5">
        <w:t xml:space="preserve">four </w:t>
      </w:r>
      <w:r w:rsidR="00190D88">
        <w:t>different</w:t>
      </w:r>
      <w:r w:rsidR="00BE5B19">
        <w:t xml:space="preserve"> </w:t>
      </w:r>
      <w:proofErr w:type="spellStart"/>
      <w:r w:rsidR="00387B32">
        <w:t>extraditees</w:t>
      </w:r>
      <w:proofErr w:type="spellEnd"/>
      <w:r w:rsidR="00387B32">
        <w:t xml:space="preserve"> to Bulgaria</w:t>
      </w:r>
      <w:r w:rsidR="00BE5B19">
        <w:t xml:space="preserve">, </w:t>
      </w:r>
      <w:r w:rsidR="00387B32">
        <w:t>unconnected to</w:t>
      </w:r>
      <w:r w:rsidR="00BE5B19">
        <w:t xml:space="preserve"> the case before the court, </w:t>
      </w:r>
      <w:r w:rsidR="00566D90">
        <w:t>but which it was said were relevant to the reliability of the assurance</w:t>
      </w:r>
      <w:r w:rsidR="006C0DF8">
        <w:t>s</w:t>
      </w:r>
      <w:r w:rsidR="00566D90">
        <w:t xml:space="preserve"> in that case.</w:t>
      </w:r>
      <w:r w:rsidR="00EC7879">
        <w:t xml:space="preserve"> </w:t>
      </w:r>
      <w:r w:rsidR="00190D88">
        <w:t>I</w:t>
      </w:r>
      <w:r w:rsidR="00EC7879">
        <w:t>t was said tha</w:t>
      </w:r>
      <w:r w:rsidR="00B45F8F">
        <w:t xml:space="preserve">t </w:t>
      </w:r>
      <w:r w:rsidR="00EC7879">
        <w:t>there was at least one and sometimes multiple breaches of assurance</w:t>
      </w:r>
      <w:r w:rsidR="00B45F8F">
        <w:t xml:space="preserve"> in each case</w:t>
      </w:r>
      <w:r w:rsidR="00EC7879">
        <w:t xml:space="preserve">. </w:t>
      </w:r>
      <w:r w:rsidR="00B83A93">
        <w:t xml:space="preserve">On analysis, this court found that, in three of the four cases, there was no breach </w:t>
      </w:r>
      <w:r w:rsidR="00756B73">
        <w:t xml:space="preserve">at all </w:t>
      </w:r>
      <w:r w:rsidR="00B83A93">
        <w:t>and in the fourth there was a single breach</w:t>
      </w:r>
      <w:r w:rsidR="007533B4">
        <w:t xml:space="preserve">. </w:t>
      </w:r>
      <w:r w:rsidR="0020456A">
        <w:t>None of that came close to preventing the extradition of the appellants in that case. Furthermore, w</w:t>
      </w:r>
      <w:r w:rsidR="007533B4">
        <w:t xml:space="preserve">hilst </w:t>
      </w:r>
      <w:r w:rsidR="009846F9">
        <w:t xml:space="preserve">of course </w:t>
      </w:r>
      <w:r w:rsidR="007533B4">
        <w:t xml:space="preserve">Hickinbottom LJ was </w:t>
      </w:r>
      <w:r w:rsidR="007B1D49">
        <w:t>addressing</w:t>
      </w:r>
      <w:r w:rsidR="007533B4">
        <w:t xml:space="preserve"> the submissions that had been made</w:t>
      </w:r>
      <w:r w:rsidR="0020456A">
        <w:t xml:space="preserve"> about those </w:t>
      </w:r>
      <w:r w:rsidR="00F31488">
        <w:t>four</w:t>
      </w:r>
      <w:r w:rsidR="0020456A">
        <w:t xml:space="preserve"> </w:t>
      </w:r>
      <w:r w:rsidR="00F31488">
        <w:t>individuals</w:t>
      </w:r>
      <w:r w:rsidR="00845CD2">
        <w:t xml:space="preserve"> in </w:t>
      </w:r>
      <w:proofErr w:type="spellStart"/>
      <w:r w:rsidR="00845CD2" w:rsidRPr="00845CD2">
        <w:rPr>
          <w:i/>
          <w:iCs/>
        </w:rPr>
        <w:t>Georgiev</w:t>
      </w:r>
      <w:proofErr w:type="spellEnd"/>
      <w:r w:rsidR="007533B4">
        <w:t xml:space="preserve">, speaking for myself, I rather doubt the utility of </w:t>
      </w:r>
      <w:r w:rsidR="00EE5F05">
        <w:t>the exercise he undertook. That is a point to which I return below.</w:t>
      </w:r>
    </w:p>
    <w:p w14:paraId="66890EDE" w14:textId="642F3031" w:rsidR="00ED060A" w:rsidRDefault="00341D1D" w:rsidP="00292AC4">
      <w:pPr>
        <w:pStyle w:val="ParaLevel1"/>
      </w:pPr>
      <w:r>
        <w:t>The importance of focussing on the conditions in the particular prison</w:t>
      </w:r>
      <w:r w:rsidR="00ED060A">
        <w:t xml:space="preserve"> was demonstrated in the recent case in this court of </w:t>
      </w:r>
      <w:r w:rsidR="007418E7">
        <w:rPr>
          <w:i/>
          <w:iCs/>
        </w:rPr>
        <w:t>R</w:t>
      </w:r>
      <w:r w:rsidR="00AC6B22">
        <w:rPr>
          <w:i/>
          <w:iCs/>
        </w:rPr>
        <w:t xml:space="preserve"> v </w:t>
      </w:r>
      <w:proofErr w:type="spellStart"/>
      <w:r w:rsidR="007418E7">
        <w:rPr>
          <w:i/>
          <w:iCs/>
        </w:rPr>
        <w:t>Chechev</w:t>
      </w:r>
      <w:proofErr w:type="spellEnd"/>
      <w:r w:rsidR="00AC6B22">
        <w:rPr>
          <w:i/>
          <w:iCs/>
        </w:rPr>
        <w:t xml:space="preserve"> and </w:t>
      </w:r>
      <w:proofErr w:type="spellStart"/>
      <w:r w:rsidR="00AC6B22">
        <w:rPr>
          <w:i/>
          <w:iCs/>
        </w:rPr>
        <w:t>Vang</w:t>
      </w:r>
      <w:r w:rsidR="00F94DC8">
        <w:rPr>
          <w:i/>
          <w:iCs/>
        </w:rPr>
        <w:t>e</w:t>
      </w:r>
      <w:r w:rsidR="00AC6B22">
        <w:rPr>
          <w:i/>
          <w:iCs/>
        </w:rPr>
        <w:t>lov</w:t>
      </w:r>
      <w:proofErr w:type="spellEnd"/>
      <w:r w:rsidR="00AC6B22">
        <w:t xml:space="preserve"> [</w:t>
      </w:r>
      <w:r w:rsidR="00F94DC8">
        <w:t xml:space="preserve">2021] </w:t>
      </w:r>
      <w:proofErr w:type="spellStart"/>
      <w:r w:rsidR="00F94DC8">
        <w:t>EWHC</w:t>
      </w:r>
      <w:proofErr w:type="spellEnd"/>
      <w:r w:rsidR="00F94DC8">
        <w:t xml:space="preserve"> 427 (Admin)</w:t>
      </w:r>
      <w:r w:rsidR="00DA6ADA">
        <w:t xml:space="preserve"> (“</w:t>
      </w:r>
      <w:proofErr w:type="spellStart"/>
      <w:r w:rsidR="00DA6ADA" w:rsidRPr="00EC2C4C">
        <w:rPr>
          <w:i/>
          <w:iCs/>
        </w:rPr>
        <w:t>Ch</w:t>
      </w:r>
      <w:r w:rsidR="00EC2C4C" w:rsidRPr="00EC2C4C">
        <w:rPr>
          <w:i/>
          <w:iCs/>
        </w:rPr>
        <w:t>echev</w:t>
      </w:r>
      <w:proofErr w:type="spellEnd"/>
      <w:r w:rsidR="00EC2C4C" w:rsidRPr="00EC2C4C">
        <w:rPr>
          <w:i/>
          <w:iCs/>
        </w:rPr>
        <w:t xml:space="preserve"> 2</w:t>
      </w:r>
      <w:r w:rsidR="00EC2C4C">
        <w:t>”)</w:t>
      </w:r>
      <w:r w:rsidR="00F94DC8">
        <w:t xml:space="preserve">. That case not only noted the </w:t>
      </w:r>
      <w:r>
        <w:t xml:space="preserve">generally </w:t>
      </w:r>
      <w:r w:rsidR="00F94DC8">
        <w:t xml:space="preserve">improving conditions in Bulgarian prisons but carefully differentiated the </w:t>
      </w:r>
      <w:r w:rsidR="00F15B04">
        <w:t>prison</w:t>
      </w:r>
      <w:r w:rsidR="00EC2C4C">
        <w:t>s</w:t>
      </w:r>
      <w:r w:rsidR="00F15B04">
        <w:t xml:space="preserve"> </w:t>
      </w:r>
      <w:r w:rsidR="0010601F">
        <w:t>in which</w:t>
      </w:r>
      <w:r w:rsidR="00F15B04">
        <w:t xml:space="preserve"> each man was to be held. Thus the appeal in </w:t>
      </w:r>
      <w:proofErr w:type="spellStart"/>
      <w:r w:rsidR="00F15B04">
        <w:t>Chechev</w:t>
      </w:r>
      <w:r w:rsidR="00673CC8">
        <w:t>’s</w:t>
      </w:r>
      <w:proofErr w:type="spellEnd"/>
      <w:r w:rsidR="00673CC8">
        <w:t xml:space="preserve"> case</w:t>
      </w:r>
      <w:r w:rsidR="00F15B04">
        <w:t xml:space="preserve"> was dismissed because he was due to be incarcerated at </w:t>
      </w:r>
      <w:proofErr w:type="spellStart"/>
      <w:r w:rsidR="00F15B04">
        <w:t>Pazard</w:t>
      </w:r>
      <w:r w:rsidR="000B38A9">
        <w:t>zhik</w:t>
      </w:r>
      <w:proofErr w:type="spellEnd"/>
      <w:r w:rsidR="000B38A9">
        <w:t xml:space="preserve">  and there was no evidence of substandard conditions at that prison. </w:t>
      </w:r>
      <w:proofErr w:type="spellStart"/>
      <w:r w:rsidR="000B38A9">
        <w:t>Van</w:t>
      </w:r>
      <w:r w:rsidR="00383F37">
        <w:t>gelov</w:t>
      </w:r>
      <w:proofErr w:type="spellEnd"/>
      <w:r w:rsidR="00383F37">
        <w:t xml:space="preserve">, </w:t>
      </w:r>
      <w:r w:rsidR="00E921FA">
        <w:t xml:space="preserve">however, </w:t>
      </w:r>
      <w:r w:rsidR="00383F37">
        <w:t xml:space="preserve">was to be detained in </w:t>
      </w:r>
      <w:proofErr w:type="spellStart"/>
      <w:r w:rsidR="00383F37">
        <w:t>Bobov</w:t>
      </w:r>
      <w:proofErr w:type="spellEnd"/>
      <w:r w:rsidR="00383F37">
        <w:t xml:space="preserve"> </w:t>
      </w:r>
      <w:proofErr w:type="spellStart"/>
      <w:r w:rsidR="00383F37">
        <w:t>Dol</w:t>
      </w:r>
      <w:proofErr w:type="spellEnd"/>
      <w:r w:rsidR="00383F37">
        <w:t xml:space="preserve"> prison where there wa</w:t>
      </w:r>
      <w:r w:rsidR="00133A2F">
        <w:t>s</w:t>
      </w:r>
      <w:r w:rsidR="008D3374">
        <w:t xml:space="preserve"> written </w:t>
      </w:r>
      <w:r w:rsidR="00133A2F">
        <w:t xml:space="preserve">and oral </w:t>
      </w:r>
      <w:r w:rsidR="008D3374">
        <w:t>evidence which made plain that</w:t>
      </w:r>
      <w:r w:rsidR="00326DF3">
        <w:t>, particularly in respect of the 3 s</w:t>
      </w:r>
      <w:r w:rsidR="00006871">
        <w:t>q</w:t>
      </w:r>
      <w:r w:rsidR="00326DF3">
        <w:t>uare met</w:t>
      </w:r>
      <w:r w:rsidR="00006871">
        <w:t>r</w:t>
      </w:r>
      <w:r w:rsidR="00326DF3">
        <w:t>e rule,</w:t>
      </w:r>
      <w:r w:rsidR="008D3374">
        <w:t xml:space="preserve"> </w:t>
      </w:r>
      <w:r w:rsidR="00C4342F">
        <w:t xml:space="preserve">part of </w:t>
      </w:r>
      <w:r w:rsidR="008D3374">
        <w:t>that prison did not comply with Article 3.</w:t>
      </w:r>
      <w:r w:rsidR="000D6C04">
        <w:t xml:space="preserve"> </w:t>
      </w:r>
      <w:r w:rsidR="002B7940">
        <w:t xml:space="preserve">What is more, that prison had been the subject of a recent </w:t>
      </w:r>
      <w:r w:rsidR="00E921FA">
        <w:t xml:space="preserve">adverse </w:t>
      </w:r>
      <w:r w:rsidR="002B7940">
        <w:t xml:space="preserve">inspection, evidence of which was before the court. </w:t>
      </w:r>
      <w:r w:rsidR="000D6C04">
        <w:t>In</w:t>
      </w:r>
      <w:r w:rsidR="00006871">
        <w:t xml:space="preserve"> what were described </w:t>
      </w:r>
      <w:r w:rsidR="00925585">
        <w:t xml:space="preserve">by Singh LJ </w:t>
      </w:r>
      <w:r w:rsidR="009A6955">
        <w:t xml:space="preserve">at [42] </w:t>
      </w:r>
      <w:r w:rsidR="00925585">
        <w:t xml:space="preserve">as </w:t>
      </w:r>
      <w:r w:rsidR="009A6955">
        <w:t>“</w:t>
      </w:r>
      <w:r w:rsidR="00925585">
        <w:t>those very particular circumstances”</w:t>
      </w:r>
      <w:r w:rsidR="000D6C04">
        <w:t xml:space="preserve">, </w:t>
      </w:r>
      <w:proofErr w:type="spellStart"/>
      <w:r w:rsidR="000D6C04">
        <w:t>Vangelov</w:t>
      </w:r>
      <w:r w:rsidR="00133A2F">
        <w:t>’</w:t>
      </w:r>
      <w:r w:rsidR="000D6C04">
        <w:t>s</w:t>
      </w:r>
      <w:proofErr w:type="spellEnd"/>
      <w:r w:rsidR="000D6C04">
        <w:t xml:space="preserve"> appeal was allowed.</w:t>
      </w:r>
    </w:p>
    <w:p w14:paraId="78450671" w14:textId="066E9902" w:rsidR="001D55F2" w:rsidRPr="001D55F2" w:rsidRDefault="006737A3" w:rsidP="00292AC4">
      <w:pPr>
        <w:pStyle w:val="ParaLevel1"/>
        <w:numPr>
          <w:ilvl w:val="0"/>
          <w:numId w:val="0"/>
        </w:numPr>
        <w:rPr>
          <w:i/>
          <w:iCs/>
        </w:rPr>
      </w:pPr>
      <w:r>
        <w:rPr>
          <w:i/>
          <w:iCs/>
        </w:rPr>
        <w:t xml:space="preserve">General </w:t>
      </w:r>
      <w:r w:rsidR="001D55F2" w:rsidRPr="001D55F2">
        <w:rPr>
          <w:i/>
          <w:iCs/>
        </w:rPr>
        <w:t>Reliability of Bulgarian Assurances</w:t>
      </w:r>
    </w:p>
    <w:p w14:paraId="7E5E9C92" w14:textId="52ACE90D" w:rsidR="00AA1D3C" w:rsidRDefault="00130A20" w:rsidP="00292AC4">
      <w:pPr>
        <w:pStyle w:val="ParaLevel1"/>
      </w:pPr>
      <w:proofErr w:type="spellStart"/>
      <w:r>
        <w:rPr>
          <w:i/>
          <w:iCs/>
        </w:rPr>
        <w:t>Chech</w:t>
      </w:r>
      <w:r w:rsidR="006F1DD5">
        <w:rPr>
          <w:i/>
          <w:iCs/>
        </w:rPr>
        <w:t>e</w:t>
      </w:r>
      <w:r w:rsidR="001A6F81">
        <w:rPr>
          <w:i/>
          <w:iCs/>
        </w:rPr>
        <w:t>v</w:t>
      </w:r>
      <w:proofErr w:type="spellEnd"/>
      <w:r w:rsidR="001A6F81">
        <w:rPr>
          <w:i/>
          <w:iCs/>
        </w:rPr>
        <w:t xml:space="preserve"> 2</w:t>
      </w:r>
      <w:r>
        <w:t xml:space="preserve"> is also important because it contains the most up-to</w:t>
      </w:r>
      <w:r w:rsidR="00576796">
        <w:t>-date examination of the general reliability of Bulgarian assurances in these circumstances. It was arg</w:t>
      </w:r>
      <w:r w:rsidR="003D0E2D">
        <w:t xml:space="preserve">ued on behalf of the </w:t>
      </w:r>
      <w:r w:rsidR="00B67553">
        <w:t>appellants in that case</w:t>
      </w:r>
      <w:r w:rsidR="003D0E2D">
        <w:t xml:space="preserve"> that whatever assurances </w:t>
      </w:r>
      <w:r w:rsidR="00B67553">
        <w:t xml:space="preserve">were </w:t>
      </w:r>
      <w:r w:rsidR="003D0E2D">
        <w:t>given by the Bulgarian authorities</w:t>
      </w:r>
      <w:r w:rsidR="00B67553">
        <w:t>, they</w:t>
      </w:r>
      <w:r w:rsidR="003D0E2D">
        <w:t xml:space="preserve"> could not be relied on. Singh L</w:t>
      </w:r>
      <w:r w:rsidR="00B67553">
        <w:t xml:space="preserve">J </w:t>
      </w:r>
      <w:r w:rsidR="003D0E2D">
        <w:t xml:space="preserve">rejected that submission. He said: </w:t>
      </w:r>
    </w:p>
    <w:p w14:paraId="605B994C" w14:textId="77777777" w:rsidR="00CD2B86" w:rsidRDefault="00023265" w:rsidP="00292AC4">
      <w:pPr>
        <w:spacing w:before="100" w:beforeAutospacing="1" w:after="100" w:afterAutospacing="1"/>
        <w:ind w:left="1134" w:right="371"/>
        <w:jc w:val="both"/>
        <w:rPr>
          <w:color w:val="000000"/>
          <w:lang w:eastAsia="en-GB"/>
        </w:rPr>
      </w:pPr>
      <w:r>
        <w:t>“</w:t>
      </w:r>
      <w:bookmarkStart w:id="1" w:name="para47"/>
      <w:r w:rsidR="00CD2B86">
        <w:rPr>
          <w:color w:val="000000"/>
          <w:lang w:eastAsia="en-GB"/>
        </w:rPr>
        <w:t xml:space="preserve">47.In essence Mr Tam submits that, whatever assurances are given by the Bulgarian authorities cannot be relied upon by this Court in view of the history of breaches of assurances in other cases in the past. Mr Tam submits </w:t>
      </w:r>
      <w:r w:rsidR="00CD2B86">
        <w:rPr>
          <w:color w:val="000000"/>
          <w:lang w:eastAsia="en-GB"/>
        </w:rPr>
        <w:lastRenderedPageBreak/>
        <w:t>that there has been such a persistent pattern of breaches that the time has come for this Court to say "enough is enough". He submits that the position might be different if the Bulgarian authorities had taken the opportunity, as recommended by Hickinbottom LJ in the postscript to his judgment in </w:t>
      </w:r>
      <w:proofErr w:type="spellStart"/>
      <w:r w:rsidR="00CD2B86">
        <w:rPr>
          <w:i/>
          <w:iCs/>
          <w:color w:val="000000"/>
          <w:lang w:eastAsia="en-GB"/>
        </w:rPr>
        <w:t>Georgiev</w:t>
      </w:r>
      <w:proofErr w:type="spellEnd"/>
      <w:r w:rsidR="00CD2B86">
        <w:rPr>
          <w:color w:val="000000"/>
          <w:lang w:eastAsia="en-GB"/>
        </w:rPr>
        <w:t>, and had explained in detail the reasons why breaches had taken place in the past and set out the steps which had been taken to ensure that breaches do not take place again in the future.</w:t>
      </w:r>
      <w:bookmarkEnd w:id="1"/>
    </w:p>
    <w:p w14:paraId="3514E375" w14:textId="77777777" w:rsidR="00CD2B86" w:rsidRDefault="00CD2B86" w:rsidP="00292AC4">
      <w:pPr>
        <w:spacing w:before="100" w:beforeAutospacing="1" w:after="100" w:afterAutospacing="1"/>
        <w:ind w:left="1134" w:right="371"/>
        <w:jc w:val="both"/>
        <w:rPr>
          <w:color w:val="000000"/>
          <w:lang w:eastAsia="en-GB"/>
        </w:rPr>
      </w:pPr>
      <w:bookmarkStart w:id="2" w:name="para48"/>
      <w:r>
        <w:rPr>
          <w:color w:val="000000"/>
          <w:lang w:eastAsia="en-GB"/>
        </w:rPr>
        <w:t>48.Powerfully though the submissions were made, I am unable to accept them. First, Mr Tam accepted at the hearing before us that he does not submit that it is no longer possible for anyone to be extradited to Bulgaria in any case in which extradition is contested. But it seems to me that would be the practical effect if his broad submission were accepted. This is because his submission amounts to the proposition that, whatever assurances are given in a specific case, they cannot be relied upon.</w:t>
      </w:r>
      <w:bookmarkEnd w:id="2"/>
    </w:p>
    <w:p w14:paraId="7D66DA17" w14:textId="77777777" w:rsidR="00CD2B86" w:rsidRDefault="00CD2B86" w:rsidP="00292AC4">
      <w:pPr>
        <w:spacing w:before="100" w:beforeAutospacing="1" w:after="100" w:afterAutospacing="1"/>
        <w:ind w:left="1134" w:right="371"/>
        <w:jc w:val="both"/>
        <w:rPr>
          <w:color w:val="000000"/>
          <w:lang w:eastAsia="en-GB"/>
        </w:rPr>
      </w:pPr>
      <w:bookmarkStart w:id="3" w:name="para49"/>
      <w:r>
        <w:rPr>
          <w:color w:val="000000"/>
          <w:lang w:eastAsia="en-GB"/>
        </w:rPr>
        <w:t>49.Secondly, it is clear that the Bulgarian authorities have sought to answer requests for information which have been made. In the present case Ms Malcolm informed us that there have been 14 requests that have been answered and a fifteenth request has been made, to which a response is awaited. This Court did not refer to the past breaches or ask for an explanation about them when it set out its detailed questions in the Annex to its judgment of 5 November 2020. In those circumstances, I do not consider that it would be right for this Court now to criticise the Bulgarian authorities for not addressing those matters.</w:t>
      </w:r>
      <w:bookmarkEnd w:id="3"/>
    </w:p>
    <w:p w14:paraId="6DC99558" w14:textId="77777777" w:rsidR="00CD2B86" w:rsidRDefault="00CD2B86" w:rsidP="00292AC4">
      <w:pPr>
        <w:spacing w:before="100" w:beforeAutospacing="1" w:after="100" w:afterAutospacing="1"/>
        <w:ind w:left="1134" w:right="371"/>
        <w:jc w:val="both"/>
        <w:rPr>
          <w:color w:val="000000"/>
          <w:lang w:eastAsia="en-GB"/>
        </w:rPr>
      </w:pPr>
      <w:bookmarkStart w:id="4" w:name="para50"/>
      <w:r>
        <w:rPr>
          <w:color w:val="000000"/>
          <w:lang w:eastAsia="en-GB"/>
        </w:rPr>
        <w:t xml:space="preserve">50.Thirdly, the evidence before the Court is clear that conditions in Bulgarian prisons have improved and are improving. That is borne out by the evidence of Mr Petrov of the </w:t>
      </w:r>
      <w:proofErr w:type="spellStart"/>
      <w:r>
        <w:rPr>
          <w:color w:val="000000"/>
          <w:lang w:eastAsia="en-GB"/>
        </w:rPr>
        <w:t>BHC</w:t>
      </w:r>
      <w:proofErr w:type="spellEnd"/>
      <w:r>
        <w:rPr>
          <w:color w:val="000000"/>
          <w:lang w:eastAsia="en-GB"/>
        </w:rPr>
        <w:t>: as I have noted earlier, his evidence was objective and accurate in its tone and content.</w:t>
      </w:r>
      <w:bookmarkEnd w:id="4"/>
    </w:p>
    <w:p w14:paraId="69734DDF" w14:textId="77777777" w:rsidR="00CD2B86" w:rsidRDefault="00CD2B86" w:rsidP="00292AC4">
      <w:pPr>
        <w:spacing w:before="100" w:beforeAutospacing="1" w:after="100" w:afterAutospacing="1"/>
        <w:ind w:left="1134" w:right="371"/>
        <w:jc w:val="both"/>
        <w:rPr>
          <w:color w:val="000000"/>
          <w:lang w:eastAsia="en-GB"/>
        </w:rPr>
      </w:pPr>
      <w:bookmarkStart w:id="5" w:name="para51"/>
      <w:r>
        <w:rPr>
          <w:color w:val="000000"/>
          <w:lang w:eastAsia="en-GB"/>
        </w:rPr>
        <w:t>51.Fourthly, there is evidence before the Court that there are quarterly reports produced in relation to people who have been extradited to Bulgaria on the basis of assurances.</w:t>
      </w:r>
      <w:bookmarkEnd w:id="5"/>
    </w:p>
    <w:p w14:paraId="077F5C6D" w14:textId="77777777" w:rsidR="00CD2B86" w:rsidRDefault="00CD2B86" w:rsidP="00292AC4">
      <w:pPr>
        <w:spacing w:before="100" w:beforeAutospacing="1" w:after="100" w:afterAutospacing="1"/>
        <w:ind w:left="1134" w:right="371"/>
        <w:jc w:val="both"/>
        <w:rPr>
          <w:color w:val="000000"/>
          <w:lang w:eastAsia="en-GB"/>
        </w:rPr>
      </w:pPr>
      <w:bookmarkStart w:id="6" w:name="para52"/>
      <w:r>
        <w:rPr>
          <w:color w:val="000000"/>
          <w:lang w:eastAsia="en-GB"/>
        </w:rPr>
        <w:t xml:space="preserve">52.Fifthly, there is evidence before the Court that there are independent mechanisms in Bulgaria for monitoring compliance with assurances and more generally for monitoring prison conditions. These include the national ombudsman and the </w:t>
      </w:r>
      <w:proofErr w:type="spellStart"/>
      <w:r>
        <w:rPr>
          <w:color w:val="000000"/>
          <w:lang w:eastAsia="en-GB"/>
        </w:rPr>
        <w:t>BHC</w:t>
      </w:r>
      <w:proofErr w:type="spellEnd"/>
      <w:r>
        <w:rPr>
          <w:color w:val="000000"/>
          <w:lang w:eastAsia="en-GB"/>
        </w:rPr>
        <w:t xml:space="preserve">, which is an independent NGO. Mr Petrov confirmed in his evidence to the District Judge that the </w:t>
      </w:r>
      <w:proofErr w:type="spellStart"/>
      <w:r>
        <w:rPr>
          <w:color w:val="000000"/>
          <w:lang w:eastAsia="en-GB"/>
        </w:rPr>
        <w:t>BHC</w:t>
      </w:r>
      <w:proofErr w:type="spellEnd"/>
      <w:r>
        <w:rPr>
          <w:color w:val="000000"/>
          <w:lang w:eastAsia="en-GB"/>
        </w:rPr>
        <w:t xml:space="preserve"> has no difficulty gaining access to prisons and other facilities.</w:t>
      </w:r>
      <w:bookmarkEnd w:id="6"/>
    </w:p>
    <w:p w14:paraId="0C11BDC0" w14:textId="332E41CD" w:rsidR="00023265" w:rsidRPr="002601D2" w:rsidRDefault="00CD2B86" w:rsidP="00292AC4">
      <w:pPr>
        <w:spacing w:before="100" w:beforeAutospacing="1" w:after="100" w:afterAutospacing="1"/>
        <w:ind w:left="1134" w:right="371"/>
        <w:jc w:val="both"/>
        <w:rPr>
          <w:color w:val="000000"/>
          <w:lang w:eastAsia="en-GB"/>
        </w:rPr>
      </w:pPr>
      <w:bookmarkStart w:id="7" w:name="para53"/>
      <w:r>
        <w:rPr>
          <w:color w:val="000000"/>
          <w:lang w:eastAsia="en-GB"/>
        </w:rPr>
        <w:t>53.Finally in this context, the law in Bulgaria has itself changed in recent years, not least to comply with the pilot judgment in </w:t>
      </w:r>
      <w:proofErr w:type="spellStart"/>
      <w:r>
        <w:rPr>
          <w:i/>
          <w:iCs/>
          <w:color w:val="000000"/>
          <w:lang w:eastAsia="en-GB"/>
        </w:rPr>
        <w:t>Neshkov</w:t>
      </w:r>
      <w:proofErr w:type="spellEnd"/>
      <w:r>
        <w:rPr>
          <w:color w:val="000000"/>
          <w:lang w:eastAsia="en-GB"/>
        </w:rPr>
        <w:t>. Article 3 is taken seriously both as a matter of law and as a matter of practice.</w:t>
      </w:r>
      <w:bookmarkEnd w:id="7"/>
      <w:r w:rsidR="00023265">
        <w:t>”</w:t>
      </w:r>
    </w:p>
    <w:p w14:paraId="0DE6F16E" w14:textId="587593B7" w:rsidR="00DE7BD1" w:rsidRPr="00DE7BD1" w:rsidRDefault="00DE7BD1" w:rsidP="00292AC4">
      <w:pPr>
        <w:pStyle w:val="ParaLevel1"/>
        <w:numPr>
          <w:ilvl w:val="0"/>
          <w:numId w:val="0"/>
        </w:numPr>
        <w:rPr>
          <w:i/>
          <w:iCs/>
        </w:rPr>
      </w:pPr>
      <w:r w:rsidRPr="00DE7BD1">
        <w:rPr>
          <w:i/>
          <w:iCs/>
        </w:rPr>
        <w:t>The Specific Evidence</w:t>
      </w:r>
      <w:r w:rsidR="003B6E3F">
        <w:rPr>
          <w:i/>
          <w:iCs/>
        </w:rPr>
        <w:t xml:space="preserve"> Relevant to This Appeal</w:t>
      </w:r>
    </w:p>
    <w:p w14:paraId="6B389134" w14:textId="18569512" w:rsidR="007652E6" w:rsidRDefault="00520FF8" w:rsidP="00292AC4">
      <w:pPr>
        <w:pStyle w:val="ParaLevel1"/>
      </w:pPr>
      <w:r>
        <w:t>The original assurance in this case</w:t>
      </w:r>
      <w:r w:rsidR="00D325D7">
        <w:t>, and the one that was before the judge,</w:t>
      </w:r>
      <w:r>
        <w:t xml:space="preserve"> was provided on 20 May 2020. I</w:t>
      </w:r>
      <w:r w:rsidR="00DC34AD">
        <w:t>t</w:t>
      </w:r>
      <w:r w:rsidR="00FC1861">
        <w:t xml:space="preserve"> </w:t>
      </w:r>
      <w:r>
        <w:t>was in these terms:</w:t>
      </w:r>
    </w:p>
    <w:p w14:paraId="176DDFC9" w14:textId="77777777" w:rsidR="007D4973" w:rsidRDefault="00520FF8" w:rsidP="00292AC4">
      <w:pPr>
        <w:pStyle w:val="Quote"/>
        <w:ind w:left="1134" w:right="371"/>
      </w:pPr>
      <w:r>
        <w:lastRenderedPageBreak/>
        <w:t>“</w:t>
      </w:r>
      <w:r w:rsidR="00FF34D8">
        <w:t xml:space="preserve">With regard to the </w:t>
      </w:r>
      <w:proofErr w:type="spellStart"/>
      <w:r w:rsidR="00FF34D8">
        <w:t>EAW</w:t>
      </w:r>
      <w:proofErr w:type="spellEnd"/>
      <w:r w:rsidR="002B6C92">
        <w:t xml:space="preserve">, issued by the Bulgarian judicial authorities for the surrender of </w:t>
      </w:r>
      <w:proofErr w:type="spellStart"/>
      <w:r w:rsidR="002B6C92">
        <w:t>Bilyan</w:t>
      </w:r>
      <w:proofErr w:type="spellEnd"/>
      <w:r w:rsidR="002B6C92">
        <w:t xml:space="preserve"> </w:t>
      </w:r>
      <w:proofErr w:type="spellStart"/>
      <w:r w:rsidR="002B6C92">
        <w:t>Sashev</w:t>
      </w:r>
      <w:proofErr w:type="spellEnd"/>
      <w:r w:rsidR="002B6C92">
        <w:t xml:space="preserve"> </w:t>
      </w:r>
      <w:proofErr w:type="spellStart"/>
      <w:r w:rsidR="002B6C92">
        <w:t>M</w:t>
      </w:r>
      <w:r w:rsidR="003768CD">
        <w:t>i</w:t>
      </w:r>
      <w:r w:rsidR="002B6C92">
        <w:t>haylov</w:t>
      </w:r>
      <w:proofErr w:type="spellEnd"/>
      <w:r w:rsidR="002B6C92">
        <w:t xml:space="preserve"> and with </w:t>
      </w:r>
      <w:r w:rsidR="003768CD">
        <w:t>reference to your questions of 2.05.2020, we provide the relevant information on the condition</w:t>
      </w:r>
      <w:r w:rsidR="007D4973">
        <w:t>s of detention of the above mentioned person, as follows:</w:t>
      </w:r>
    </w:p>
    <w:p w14:paraId="3C8B00C7" w14:textId="77777777" w:rsidR="00395DB8" w:rsidRDefault="007D4973" w:rsidP="00292AC4">
      <w:pPr>
        <w:pStyle w:val="Quote"/>
        <w:ind w:left="1134" w:right="371"/>
      </w:pPr>
      <w:r>
        <w:t>Concerning questions (</w:t>
      </w:r>
      <w:proofErr w:type="spellStart"/>
      <w:r>
        <w:t>i</w:t>
      </w:r>
      <w:proofErr w:type="spellEnd"/>
      <w:r>
        <w:t>)</w:t>
      </w:r>
      <w:r w:rsidR="004A2854">
        <w:t xml:space="preserve">: Taking into account our national legislation and the statutory requirement to keep </w:t>
      </w:r>
      <w:r w:rsidR="007F7199">
        <w:t xml:space="preserve">the inmates in a prison near to their place of permanent residence, upon his arrival and taking into account his permanent address, </w:t>
      </w:r>
      <w:proofErr w:type="spellStart"/>
      <w:r w:rsidR="007F7199">
        <w:t>Bilyan</w:t>
      </w:r>
      <w:proofErr w:type="spellEnd"/>
      <w:r w:rsidR="007F7199">
        <w:t xml:space="preserve"> </w:t>
      </w:r>
      <w:proofErr w:type="spellStart"/>
      <w:r w:rsidR="007F7199">
        <w:t>Sashev</w:t>
      </w:r>
      <w:proofErr w:type="spellEnd"/>
      <w:r w:rsidR="007F7199">
        <w:t xml:space="preserve"> </w:t>
      </w:r>
      <w:proofErr w:type="spellStart"/>
      <w:r w:rsidR="007F7199">
        <w:t>Mihaylov</w:t>
      </w:r>
      <w:proofErr w:type="spellEnd"/>
      <w:r w:rsidR="007F7199">
        <w:t xml:space="preserve"> will be placed in </w:t>
      </w:r>
      <w:proofErr w:type="spellStart"/>
      <w:r w:rsidR="00395DB8">
        <w:t>Burgas</w:t>
      </w:r>
      <w:proofErr w:type="spellEnd"/>
      <w:r w:rsidR="00395DB8">
        <w:t xml:space="preserve"> Prison, including during the adaptation period.</w:t>
      </w:r>
    </w:p>
    <w:p w14:paraId="235801FE" w14:textId="7D6B6147" w:rsidR="00E0782D" w:rsidRDefault="00395DB8" w:rsidP="00292AC4">
      <w:pPr>
        <w:pStyle w:val="Quote"/>
        <w:ind w:left="1134" w:right="371"/>
      </w:pPr>
      <w:r>
        <w:t xml:space="preserve">Concerning questions (ii): As of 19.5.2020 the occupancy rate in </w:t>
      </w:r>
      <w:proofErr w:type="spellStart"/>
      <w:r>
        <w:t>Burgas</w:t>
      </w:r>
      <w:proofErr w:type="spellEnd"/>
      <w:r>
        <w:t xml:space="preserve"> Prison is as follows: 792 inmates with a capacity of 1020 inmates at 4 </w:t>
      </w:r>
      <w:proofErr w:type="spellStart"/>
      <w:r>
        <w:t>sq.m</w:t>
      </w:r>
      <w:proofErr w:type="spellEnd"/>
      <w:r>
        <w:t xml:space="preserve"> </w:t>
      </w:r>
      <w:r w:rsidR="00E0782D">
        <w:t>per person.</w:t>
      </w:r>
    </w:p>
    <w:p w14:paraId="12ACE6D4" w14:textId="0E2006A5" w:rsidR="00D536EF" w:rsidRDefault="00E0782D" w:rsidP="00292AC4">
      <w:pPr>
        <w:pStyle w:val="Quote"/>
        <w:ind w:left="1134" w:right="371"/>
      </w:pPr>
      <w:r>
        <w:t>All dormit</w:t>
      </w:r>
      <w:r w:rsidR="00D536EF">
        <w:t>o</w:t>
      </w:r>
      <w:r>
        <w:t>ries are equipped</w:t>
      </w:r>
      <w:r w:rsidR="00D536EF">
        <w:t xml:space="preserve"> with self-contained sanitary facilities and running water.</w:t>
      </w:r>
    </w:p>
    <w:p w14:paraId="20A53C74" w14:textId="77777777" w:rsidR="00913A68" w:rsidRDefault="00E0782D" w:rsidP="00292AC4">
      <w:pPr>
        <w:pStyle w:val="Quote"/>
        <w:ind w:left="1134" w:right="371"/>
      </w:pPr>
      <w:r>
        <w:t xml:space="preserve"> </w:t>
      </w:r>
      <w:r w:rsidR="004A2854">
        <w:t xml:space="preserve"> </w:t>
      </w:r>
      <w:r w:rsidR="00486778">
        <w:t xml:space="preserve">Concerning question (iii): In the event of transfer to another prison </w:t>
      </w:r>
      <w:proofErr w:type="spellStart"/>
      <w:r w:rsidR="00486778">
        <w:t>Bilyan</w:t>
      </w:r>
      <w:proofErr w:type="spellEnd"/>
      <w:r w:rsidR="00486778">
        <w:t xml:space="preserve"> </w:t>
      </w:r>
      <w:proofErr w:type="spellStart"/>
      <w:r w:rsidR="00486778">
        <w:t>Sashev</w:t>
      </w:r>
      <w:proofErr w:type="spellEnd"/>
      <w:r w:rsidR="00486778">
        <w:t xml:space="preserve"> </w:t>
      </w:r>
      <w:proofErr w:type="spellStart"/>
      <w:r w:rsidR="00486778">
        <w:t>Mihaylov</w:t>
      </w:r>
      <w:proofErr w:type="spellEnd"/>
      <w:r w:rsidR="00486778">
        <w:t xml:space="preserve"> </w:t>
      </w:r>
      <w:r w:rsidR="00FD0776">
        <w:t>will still be kept in conditions complaint with Article 3 ECHR and the minimum European standards</w:t>
      </w:r>
      <w:r w:rsidR="00913A68">
        <w:t>.</w:t>
      </w:r>
    </w:p>
    <w:p w14:paraId="54080F8B" w14:textId="4878A5A0" w:rsidR="009A4D2E" w:rsidRDefault="00913A68" w:rsidP="00292AC4">
      <w:pPr>
        <w:pStyle w:val="Quote"/>
        <w:ind w:left="1134" w:right="371"/>
      </w:pPr>
      <w:r>
        <w:t xml:space="preserve">On question (2): As it was already stated in (ii) the current occupancy rates in </w:t>
      </w:r>
      <w:proofErr w:type="spellStart"/>
      <w:r>
        <w:t>Burga</w:t>
      </w:r>
      <w:proofErr w:type="spellEnd"/>
      <w:r>
        <w:t xml:space="preserve"> Prison provide for compliance with </w:t>
      </w:r>
      <w:r w:rsidR="009A4D2E">
        <w:t>the</w:t>
      </w:r>
      <w:r>
        <w:t xml:space="preserve"> requirement for </w:t>
      </w:r>
      <w:r w:rsidR="009A4D2E">
        <w:t xml:space="preserve">4 </w:t>
      </w:r>
      <w:proofErr w:type="spellStart"/>
      <w:r w:rsidR="009A4D2E">
        <w:t>sq.m</w:t>
      </w:r>
      <w:proofErr w:type="spellEnd"/>
      <w:r w:rsidR="009A4D2E">
        <w:t xml:space="preserve"> living area for the inmate.</w:t>
      </w:r>
    </w:p>
    <w:p w14:paraId="038DE54E" w14:textId="77777777" w:rsidR="00D14205" w:rsidRDefault="002B6C92" w:rsidP="00292AC4">
      <w:pPr>
        <w:pStyle w:val="Quote"/>
        <w:ind w:left="1134" w:right="371"/>
      </w:pPr>
      <w:r>
        <w:t xml:space="preserve"> </w:t>
      </w:r>
      <w:r w:rsidR="009E59C3">
        <w:t>Furthermore I would like to draw your attention to the fact that in the event the extradition is ordered</w:t>
      </w:r>
      <w:r w:rsidR="00E938B7">
        <w:t xml:space="preserve">, the rights and interests of </w:t>
      </w:r>
      <w:proofErr w:type="spellStart"/>
      <w:r w:rsidR="00E938B7">
        <w:t>Bilyan</w:t>
      </w:r>
      <w:proofErr w:type="spellEnd"/>
      <w:r w:rsidR="00E938B7">
        <w:t xml:space="preserve"> </w:t>
      </w:r>
      <w:proofErr w:type="spellStart"/>
      <w:r w:rsidR="00E938B7">
        <w:t>Sashev</w:t>
      </w:r>
      <w:proofErr w:type="spellEnd"/>
      <w:r w:rsidR="00E938B7">
        <w:t xml:space="preserve"> </w:t>
      </w:r>
      <w:proofErr w:type="spellStart"/>
      <w:r w:rsidR="00E938B7">
        <w:t>Mihaylov</w:t>
      </w:r>
      <w:proofErr w:type="spellEnd"/>
      <w:r w:rsidR="00E938B7">
        <w:t xml:space="preserve"> will be further safeguarded by the provisions of Article 276-283 of the Implementation </w:t>
      </w:r>
      <w:r w:rsidR="001E6019">
        <w:t>of Penal Sanctions and Detention in Custody Act – PART Six: Protection against Torture, Cruel, Inhuman or Degrading Treatment (enclosed)</w:t>
      </w:r>
      <w:r w:rsidR="00D14205">
        <w:t>.</w:t>
      </w:r>
    </w:p>
    <w:p w14:paraId="7BF75F81" w14:textId="77777777" w:rsidR="00843BEB" w:rsidRDefault="00D14205" w:rsidP="00292AC4">
      <w:pPr>
        <w:pStyle w:val="Quote"/>
        <w:ind w:left="1134" w:right="371"/>
      </w:pPr>
      <w:r>
        <w:t>In order to guarantee compliance with the assurances that the Bulgarian state provides in regards to the prison condit</w:t>
      </w:r>
      <w:r w:rsidR="00A3230C">
        <w:t>i</w:t>
      </w:r>
      <w:r>
        <w:t>ons, on th</w:t>
      </w:r>
      <w:r w:rsidR="00A3230C">
        <w:t>e</w:t>
      </w:r>
      <w:r>
        <w:t xml:space="preserve"> 06.</w:t>
      </w:r>
      <w:r w:rsidR="00A3230C">
        <w:t>10.2017 the Deputy Minister</w:t>
      </w:r>
      <w:r w:rsidR="00CC6E81">
        <w:t xml:space="preserve"> of Justice issued a special order. It provides that the Directorate General “Execution of Sentences</w:t>
      </w:r>
      <w:r w:rsidR="00E46B3C">
        <w:t>” reports on quarterly basis to the D</w:t>
      </w:r>
      <w:r w:rsidR="004A12EA">
        <w:t>eputy Minister of</w:t>
      </w:r>
      <w:r w:rsidR="00E46B3C">
        <w:t xml:space="preserve"> Just</w:t>
      </w:r>
      <w:r w:rsidR="004A12EA">
        <w:t>i</w:t>
      </w:r>
      <w:r w:rsidR="00E46B3C">
        <w:t>ce the custodial conditions</w:t>
      </w:r>
      <w:r w:rsidR="004A12EA">
        <w:t xml:space="preserve"> of any person deprived of liberty who</w:t>
      </w:r>
      <w:r w:rsidR="00B277E9">
        <w:t xml:space="preserve"> are subject to </w:t>
      </w:r>
      <w:proofErr w:type="spellStart"/>
      <w:r w:rsidR="00B277E9">
        <w:t>EAW</w:t>
      </w:r>
      <w:proofErr w:type="spellEnd"/>
      <w:r w:rsidR="00B277E9">
        <w:t>, extradition and prisoner transfer procedure, and the compliance of these conditions with the requirements of the ECHR.</w:t>
      </w:r>
    </w:p>
    <w:p w14:paraId="66D34A96" w14:textId="77777777" w:rsidR="00905314" w:rsidRDefault="00843BEB" w:rsidP="00292AC4">
      <w:pPr>
        <w:pStyle w:val="Quote"/>
        <w:ind w:left="1134" w:right="371"/>
      </w:pPr>
      <w:r>
        <w:t>As an additional guarantee for the rights of the inmates, the National Ombudsman</w:t>
      </w:r>
      <w:r w:rsidR="00BF6C45">
        <w:t xml:space="preserve">, through “National Prevention Mechanism” Directorate part of the administration, has </w:t>
      </w:r>
      <w:r w:rsidR="0031620D">
        <w:t>access to the places of deprivation of liberty in Bulgaria and may</w:t>
      </w:r>
      <w:r w:rsidR="00913603">
        <w:t xml:space="preserve"> interview sentenced persons privately and to mon</w:t>
      </w:r>
      <w:r w:rsidR="00905314">
        <w:t>i</w:t>
      </w:r>
      <w:r w:rsidR="00913603">
        <w:t>tor the material condit</w:t>
      </w:r>
      <w:r w:rsidR="00905314">
        <w:t>i</w:t>
      </w:r>
      <w:r w:rsidR="00913603">
        <w:t>ons on the inmates. The Ombu</w:t>
      </w:r>
      <w:r w:rsidR="00905314">
        <w:t>dsman has the power to make recommendations to the prison authorities, which are always taken into consideration.</w:t>
      </w:r>
    </w:p>
    <w:p w14:paraId="138A502A" w14:textId="77777777" w:rsidR="002546E7" w:rsidRDefault="0058532C" w:rsidP="00292AC4">
      <w:pPr>
        <w:pStyle w:val="Quote"/>
        <w:ind w:left="1134" w:right="371"/>
      </w:pPr>
      <w:r>
        <w:lastRenderedPageBreak/>
        <w:t>The control over the implementation of panel sanctions is exercised by state bodies, org</w:t>
      </w:r>
      <w:r w:rsidR="006A4298">
        <w:t>a</w:t>
      </w:r>
      <w:r>
        <w:t>nisations and not-fo</w:t>
      </w:r>
      <w:r w:rsidR="006A4298">
        <w:t>r</w:t>
      </w:r>
      <w:r>
        <w:t>-profit</w:t>
      </w:r>
      <w:r w:rsidR="00CC6E81">
        <w:t xml:space="preserve"> </w:t>
      </w:r>
      <w:r w:rsidR="006A4298">
        <w:t>legal entities registered for pursuit of public benefit activities</w:t>
      </w:r>
      <w:r w:rsidR="002546E7">
        <w:t>.</w:t>
      </w:r>
    </w:p>
    <w:p w14:paraId="78730A06" w14:textId="77777777" w:rsidR="002546E7" w:rsidRDefault="002546E7" w:rsidP="00292AC4">
      <w:pPr>
        <w:pStyle w:val="Quote"/>
        <w:ind w:left="1134" w:right="371"/>
      </w:pPr>
      <w:r>
        <w:t>The Bulgarian Public Prosecutor’s Office exercises supervision as to compliance with legality upon implementation of penal sanctions according to the Judiciary System Act.</w:t>
      </w:r>
    </w:p>
    <w:p w14:paraId="1FC3D120" w14:textId="2F25F2F0" w:rsidR="00520FF8" w:rsidRDefault="005A4649" w:rsidP="00292AC4">
      <w:pPr>
        <w:pStyle w:val="Quote"/>
        <w:ind w:left="1134" w:right="371"/>
      </w:pPr>
      <w:r>
        <w:t xml:space="preserve">To summarize, we express our willingness to resolve all the issues with commitment to the best interests of both parties and fruitful cooperation in the area of mutual </w:t>
      </w:r>
      <w:r w:rsidR="00AC5CFA">
        <w:t xml:space="preserve">cooperation in criminal matters and the </w:t>
      </w:r>
      <w:proofErr w:type="spellStart"/>
      <w:r w:rsidR="00AC5CFA">
        <w:t>EAW</w:t>
      </w:r>
      <w:proofErr w:type="spellEnd"/>
      <w:r w:rsidR="00AC5CFA">
        <w:t xml:space="preserve"> specifically, with the full respect of the rights of sentenced persons</w:t>
      </w:r>
      <w:r w:rsidR="00A3230C">
        <w:t xml:space="preserve"> </w:t>
      </w:r>
      <w:r w:rsidR="00520FF8">
        <w:t>”</w:t>
      </w:r>
    </w:p>
    <w:p w14:paraId="549F0E42" w14:textId="41A2265B" w:rsidR="0071041B" w:rsidRDefault="0071041B" w:rsidP="00292AC4">
      <w:pPr>
        <w:pStyle w:val="ParaLevel1"/>
      </w:pPr>
      <w:r>
        <w:t>I</w:t>
      </w:r>
      <w:r w:rsidR="0085384E">
        <w:t>t was suggested that, by granting permission to appeal</w:t>
      </w:r>
      <w:r w:rsidR="000F0F1A">
        <w:t xml:space="preserve"> and </w:t>
      </w:r>
      <w:r w:rsidR="0002441D">
        <w:t>requiring answers to the template questions</w:t>
      </w:r>
      <w:r w:rsidR="0085384E">
        <w:t>, May J was impliedly finding that th</w:t>
      </w:r>
      <w:r w:rsidR="00220E45">
        <w:t>e May 2020</w:t>
      </w:r>
      <w:r w:rsidR="0085384E">
        <w:t xml:space="preserve"> assurance was inadequate. I do not accept that. She </w:t>
      </w:r>
      <w:r w:rsidR="003A2A38">
        <w:t xml:space="preserve">could make no such finding </w:t>
      </w:r>
      <w:r w:rsidR="00660B6C">
        <w:t xml:space="preserve">(express or implied) </w:t>
      </w:r>
      <w:r w:rsidR="003A2A38">
        <w:t xml:space="preserve">because the respondent was not represented before her. She </w:t>
      </w:r>
      <w:r w:rsidR="0085384E">
        <w:t xml:space="preserve">was persuaded to grant permission to appeal and, very sensibly, </w:t>
      </w:r>
      <w:r w:rsidR="00F22A44">
        <w:t>she concluded that this court would benefit from up-to-date information (particularly given</w:t>
      </w:r>
      <w:r w:rsidR="0002441D">
        <w:t xml:space="preserve"> that</w:t>
      </w:r>
      <w:r w:rsidR="00F22A44">
        <w:t xml:space="preserve"> the assurance </w:t>
      </w:r>
      <w:r w:rsidR="0002441D">
        <w:t xml:space="preserve">of May 2020 </w:t>
      </w:r>
      <w:r w:rsidR="00F22A44">
        <w:t xml:space="preserve">was </w:t>
      </w:r>
      <w:r w:rsidR="0032608C">
        <w:t>by then</w:t>
      </w:r>
      <w:r w:rsidR="00F22A44">
        <w:t xml:space="preserve"> over 18 months old).  It was a conven</w:t>
      </w:r>
      <w:r w:rsidR="00713FD3">
        <w:t xml:space="preserve">ient mechanism to obtain that information by asking the questions that had been </w:t>
      </w:r>
      <w:r w:rsidR="0032608C">
        <w:t>asked in</w:t>
      </w:r>
      <w:r w:rsidR="00713FD3">
        <w:t xml:space="preserve"> </w:t>
      </w:r>
      <w:proofErr w:type="spellStart"/>
      <w:r w:rsidR="00713FD3">
        <w:rPr>
          <w:i/>
          <w:iCs/>
        </w:rPr>
        <w:t>Chechev</w:t>
      </w:r>
      <w:proofErr w:type="spellEnd"/>
      <w:r w:rsidR="00713FD3">
        <w:rPr>
          <w:i/>
          <w:iCs/>
        </w:rPr>
        <w:t xml:space="preserve"> 2</w:t>
      </w:r>
      <w:r w:rsidR="00713FD3">
        <w:t xml:space="preserve">. </w:t>
      </w:r>
      <w:r w:rsidR="00300655">
        <w:t>I do not read anything more into her order than that.</w:t>
      </w:r>
    </w:p>
    <w:p w14:paraId="2E950C1E" w14:textId="16F022E3" w:rsidR="00A738DB" w:rsidRDefault="00A738DB" w:rsidP="00292AC4">
      <w:pPr>
        <w:pStyle w:val="ParaLevel1"/>
      </w:pPr>
      <w:r>
        <w:t>I</w:t>
      </w:r>
      <w:r w:rsidR="00300655">
        <w:t>n the light of the points made by Mr Owen</w:t>
      </w:r>
      <w:r w:rsidR="009573A8">
        <w:t xml:space="preserve"> about the questions and their answers, it is appropriate to set out the questions in full. They read:</w:t>
      </w:r>
    </w:p>
    <w:p w14:paraId="09CA5446" w14:textId="77777777" w:rsidR="009E4B56" w:rsidRDefault="009573A8" w:rsidP="00292AC4">
      <w:pPr>
        <w:pStyle w:val="Quote"/>
        <w:ind w:left="1134" w:right="371"/>
      </w:pPr>
      <w:r>
        <w:t>“</w:t>
      </w:r>
      <w:r w:rsidR="002B04B7">
        <w:t xml:space="preserve">a. </w:t>
      </w:r>
      <w:r w:rsidR="005F239A">
        <w:t xml:space="preserve">Please list all detention facilities, including closed prison hostels and open prison hostels which </w:t>
      </w:r>
      <w:proofErr w:type="spellStart"/>
      <w:r w:rsidR="005F239A">
        <w:t>Bilyan</w:t>
      </w:r>
      <w:proofErr w:type="spellEnd"/>
      <w:r w:rsidR="005F239A">
        <w:t xml:space="preserve"> </w:t>
      </w:r>
      <w:proofErr w:type="spellStart"/>
      <w:r w:rsidR="005F239A">
        <w:t>Sashev</w:t>
      </w:r>
      <w:proofErr w:type="spellEnd"/>
      <w:r w:rsidR="005F239A">
        <w:t xml:space="preserve"> </w:t>
      </w:r>
      <w:proofErr w:type="spellStart"/>
      <w:r w:rsidR="005F239A">
        <w:t>Mihaylov</w:t>
      </w:r>
      <w:proofErr w:type="spellEnd"/>
      <w:r w:rsidR="005F239A">
        <w:t xml:space="preserve"> </w:t>
      </w:r>
      <w:r w:rsidR="009E4B56">
        <w:t>may be detained in for the duration of his sentence.</w:t>
      </w:r>
    </w:p>
    <w:p w14:paraId="44E3BDA8" w14:textId="77777777" w:rsidR="00A20605" w:rsidRDefault="009E4B56" w:rsidP="00292AC4">
      <w:pPr>
        <w:pStyle w:val="Quote"/>
        <w:ind w:left="1134" w:right="371"/>
      </w:pPr>
      <w:r>
        <w:t xml:space="preserve">b. Please provide the occupation levels at each </w:t>
      </w:r>
      <w:r w:rsidR="00A20605">
        <w:t>possible detention facility.</w:t>
      </w:r>
    </w:p>
    <w:p w14:paraId="56AFD31F" w14:textId="77777777" w:rsidR="0085358A" w:rsidRDefault="00A20605" w:rsidP="00292AC4">
      <w:pPr>
        <w:pStyle w:val="Quote"/>
        <w:ind w:left="1134" w:right="371"/>
      </w:pPr>
      <w:r>
        <w:t xml:space="preserve">c. In which part of each facility will </w:t>
      </w:r>
      <w:proofErr w:type="spellStart"/>
      <w:r>
        <w:t>Bilyan</w:t>
      </w:r>
      <w:proofErr w:type="spellEnd"/>
      <w:r>
        <w:t xml:space="preserve"> </w:t>
      </w:r>
      <w:proofErr w:type="spellStart"/>
      <w:r>
        <w:t>Sashev</w:t>
      </w:r>
      <w:proofErr w:type="spellEnd"/>
      <w:r>
        <w:t xml:space="preserve"> </w:t>
      </w:r>
      <w:proofErr w:type="spellStart"/>
      <w:r>
        <w:t>Mihaylov</w:t>
      </w:r>
      <w:proofErr w:type="spellEnd"/>
      <w:r w:rsidR="000A22DA">
        <w:t xml:space="preserve"> be detained for the duration of the sentence? Please provide cell dimensions</w:t>
      </w:r>
      <w:r w:rsidR="0085358A">
        <w:t>.</w:t>
      </w:r>
    </w:p>
    <w:p w14:paraId="699394FA" w14:textId="77777777" w:rsidR="00997C77" w:rsidRDefault="0085358A" w:rsidP="00292AC4">
      <w:pPr>
        <w:pStyle w:val="Quote"/>
        <w:ind w:left="1134" w:right="371"/>
      </w:pPr>
      <w:r>
        <w:t xml:space="preserve">d. Will </w:t>
      </w:r>
      <w:proofErr w:type="spellStart"/>
      <w:r>
        <w:t>Bilyan</w:t>
      </w:r>
      <w:proofErr w:type="spellEnd"/>
      <w:r>
        <w:t xml:space="preserve"> </w:t>
      </w:r>
      <w:proofErr w:type="spellStart"/>
      <w:r>
        <w:t>Mihaylov</w:t>
      </w:r>
      <w:proofErr w:type="spellEnd"/>
      <w:r>
        <w:t xml:space="preserve"> be </w:t>
      </w:r>
      <w:r w:rsidR="002F7103">
        <w:t>accom</w:t>
      </w:r>
      <w:r w:rsidR="00997C77">
        <w:t>m</w:t>
      </w:r>
      <w:r w:rsidR="002F7103">
        <w:t>odated in a cell which:</w:t>
      </w:r>
    </w:p>
    <w:p w14:paraId="7630F7E1" w14:textId="3142C9C9" w:rsidR="00997C77" w:rsidRDefault="00997C77" w:rsidP="00292AC4">
      <w:pPr>
        <w:pStyle w:val="Quote"/>
        <w:ind w:left="1134" w:right="371"/>
      </w:pPr>
      <w:proofErr w:type="spellStart"/>
      <w:r>
        <w:t>i</w:t>
      </w:r>
      <w:proofErr w:type="spellEnd"/>
      <w:r>
        <w:t>. provides him with 4 square metres of space at all times throughout;</w:t>
      </w:r>
      <w:r w:rsidR="00881977">
        <w:t xml:space="preserve"> </w:t>
      </w:r>
      <w:r>
        <w:t>and</w:t>
      </w:r>
    </w:p>
    <w:p w14:paraId="6A8D8737" w14:textId="77777777" w:rsidR="00881977" w:rsidRDefault="00997C77" w:rsidP="00292AC4">
      <w:pPr>
        <w:pStyle w:val="Quote"/>
        <w:ind w:left="1134" w:right="371"/>
      </w:pPr>
      <w:r>
        <w:t>ii. contains a self-contained sanitary facil</w:t>
      </w:r>
      <w:r w:rsidR="00881977">
        <w:t>i</w:t>
      </w:r>
      <w:r>
        <w:t>ty?</w:t>
      </w:r>
    </w:p>
    <w:p w14:paraId="7A5B9454" w14:textId="77777777" w:rsidR="00166DC6" w:rsidRDefault="00881977" w:rsidP="00292AC4">
      <w:pPr>
        <w:pStyle w:val="Quote"/>
        <w:ind w:left="1134" w:right="371"/>
      </w:pPr>
      <w:r>
        <w:t xml:space="preserve">e. What mechanisms exist, or will be provided, to monitor the conditions in which </w:t>
      </w:r>
      <w:proofErr w:type="spellStart"/>
      <w:r>
        <w:t>Bilyan</w:t>
      </w:r>
      <w:proofErr w:type="spellEnd"/>
      <w:r>
        <w:t xml:space="preserve"> </w:t>
      </w:r>
      <w:proofErr w:type="spellStart"/>
      <w:r>
        <w:t>Mihaylov</w:t>
      </w:r>
      <w:proofErr w:type="spellEnd"/>
      <w:r>
        <w:t xml:space="preserve"> is detained throughout </w:t>
      </w:r>
      <w:r w:rsidR="00166DC6">
        <w:t>his detention?</w:t>
      </w:r>
    </w:p>
    <w:p w14:paraId="0446C6B2" w14:textId="77777777" w:rsidR="00EE1755" w:rsidRDefault="00166DC6" w:rsidP="00292AC4">
      <w:pPr>
        <w:pStyle w:val="Quote"/>
        <w:ind w:left="1134" w:right="371"/>
      </w:pPr>
      <w:r>
        <w:t>f. Evidence of the measures being taken in the</w:t>
      </w:r>
      <w:r w:rsidR="00C45725">
        <w:t xml:space="preserve"> </w:t>
      </w:r>
      <w:r>
        <w:t>rel</w:t>
      </w:r>
      <w:r w:rsidR="00C45725">
        <w:t>e</w:t>
      </w:r>
      <w:r>
        <w:t>vant section</w:t>
      </w:r>
      <w:r w:rsidR="00C45725">
        <w:t xml:space="preserve"> of each prison by the appropriate authority </w:t>
      </w:r>
      <w:r w:rsidR="00EE1755">
        <w:t>to limit or restrict the spread of Covid-19, in particular:</w:t>
      </w:r>
    </w:p>
    <w:p w14:paraId="6194D685" w14:textId="77777777" w:rsidR="00490533" w:rsidRDefault="00990161" w:rsidP="00292AC4">
      <w:pPr>
        <w:pStyle w:val="Quote"/>
        <w:ind w:left="1134" w:right="371"/>
      </w:pPr>
      <w:proofErr w:type="spellStart"/>
      <w:r>
        <w:t>i</w:t>
      </w:r>
      <w:proofErr w:type="spellEnd"/>
      <w:r>
        <w:t>. the amount of time out of the cell each prisoner at the relevant pris</w:t>
      </w:r>
      <w:r w:rsidR="00490533">
        <w:t>on is permitted;</w:t>
      </w:r>
    </w:p>
    <w:p w14:paraId="30C342FE" w14:textId="77777777" w:rsidR="00490533" w:rsidRDefault="00490533" w:rsidP="00292AC4">
      <w:pPr>
        <w:pStyle w:val="Quote"/>
        <w:ind w:left="1134" w:right="371"/>
      </w:pPr>
      <w:r>
        <w:t>ii. How much access each prisoner at the relevant prison is permitted to:</w:t>
      </w:r>
    </w:p>
    <w:p w14:paraId="51D7A1D5" w14:textId="5F96D211" w:rsidR="00642E03" w:rsidRDefault="00642E03" w:rsidP="00292AC4">
      <w:pPr>
        <w:pStyle w:val="ParaLevel5"/>
        <w:ind w:left="1134" w:right="371" w:firstLine="0"/>
      </w:pPr>
      <w:r>
        <w:lastRenderedPageBreak/>
        <w:t>the open air</w:t>
      </w:r>
      <w:r w:rsidR="00A1576B">
        <w:t>;</w:t>
      </w:r>
    </w:p>
    <w:p w14:paraId="44031BAC" w14:textId="3805CC7D" w:rsidR="00642E03" w:rsidRDefault="00642E03" w:rsidP="00292AC4">
      <w:pPr>
        <w:pStyle w:val="ParaLevel5"/>
        <w:ind w:left="1134" w:right="371" w:firstLine="0"/>
      </w:pPr>
      <w:r>
        <w:t>exercise</w:t>
      </w:r>
      <w:r w:rsidR="00A1576B">
        <w:t>;</w:t>
      </w:r>
    </w:p>
    <w:p w14:paraId="647A6CF6" w14:textId="77777777" w:rsidR="00A1576B" w:rsidRDefault="00A1576B" w:rsidP="00292AC4">
      <w:pPr>
        <w:pStyle w:val="ParaLevel5"/>
        <w:ind w:left="1134" w:right="371" w:firstLine="0"/>
      </w:pPr>
      <w:r>
        <w:t xml:space="preserve">education/training </w:t>
      </w:r>
      <w:proofErr w:type="spellStart"/>
      <w:r>
        <w:t>activites</w:t>
      </w:r>
      <w:proofErr w:type="spellEnd"/>
      <w:r>
        <w:t>;</w:t>
      </w:r>
    </w:p>
    <w:p w14:paraId="1754F06E" w14:textId="77777777" w:rsidR="00A1576B" w:rsidRDefault="00A1576B" w:rsidP="00292AC4">
      <w:pPr>
        <w:pStyle w:val="ParaLevel5"/>
        <w:ind w:left="1134" w:right="371" w:firstLine="0"/>
      </w:pPr>
      <w:r>
        <w:t>medical treatment;</w:t>
      </w:r>
    </w:p>
    <w:p w14:paraId="098EA279" w14:textId="77777777" w:rsidR="00C12053" w:rsidRDefault="00A1576B" w:rsidP="00292AC4">
      <w:pPr>
        <w:pStyle w:val="ParaLevel5"/>
        <w:ind w:left="1134" w:right="371" w:firstLine="0"/>
      </w:pPr>
      <w:r>
        <w:t>commu</w:t>
      </w:r>
      <w:r w:rsidR="00C12053">
        <w:t>nication with the family and/or friends outside of the prison.</w:t>
      </w:r>
    </w:p>
    <w:p w14:paraId="146C1859" w14:textId="77777777" w:rsidR="00584816" w:rsidRDefault="00AA5824" w:rsidP="00292AC4">
      <w:pPr>
        <w:pStyle w:val="ParaLevel5"/>
        <w:numPr>
          <w:ilvl w:val="0"/>
          <w:numId w:val="14"/>
        </w:numPr>
        <w:ind w:left="1134" w:right="371" w:firstLine="0"/>
      </w:pPr>
      <w:r>
        <w:t>Whether the</w:t>
      </w:r>
      <w:r w:rsidR="00584816">
        <w:t xml:space="preserve"> </w:t>
      </w:r>
      <w:r>
        <w:t>Covid-19 restrictions have adversely affected the monitoring visits</w:t>
      </w:r>
      <w:r w:rsidR="00584816">
        <w:t>/system and, if so how much and to what extent.</w:t>
      </w:r>
    </w:p>
    <w:p w14:paraId="6ADA800D" w14:textId="77777777" w:rsidR="00DC7E90" w:rsidRDefault="00DC7E90" w:rsidP="00292AC4">
      <w:pPr>
        <w:pStyle w:val="ParaLevel5"/>
        <w:numPr>
          <w:ilvl w:val="0"/>
          <w:numId w:val="14"/>
        </w:numPr>
        <w:ind w:left="1134" w:right="371" w:firstLine="0"/>
      </w:pPr>
      <w:r>
        <w:t>The court seeks specific assurances:</w:t>
      </w:r>
    </w:p>
    <w:p w14:paraId="3DCB8D24" w14:textId="77777777" w:rsidR="004C5D10" w:rsidRDefault="00DC7E90" w:rsidP="00292AC4">
      <w:pPr>
        <w:pStyle w:val="ParaLevel5"/>
        <w:numPr>
          <w:ilvl w:val="0"/>
          <w:numId w:val="15"/>
        </w:numPr>
        <w:ind w:left="1134" w:right="371" w:firstLine="0"/>
      </w:pPr>
      <w:r>
        <w:t xml:space="preserve">That </w:t>
      </w:r>
      <w:proofErr w:type="spellStart"/>
      <w:r>
        <w:t>Bilyan</w:t>
      </w:r>
      <w:proofErr w:type="spellEnd"/>
      <w:r>
        <w:t xml:space="preserve"> </w:t>
      </w:r>
      <w:proofErr w:type="spellStart"/>
      <w:r>
        <w:t>Mihaylov</w:t>
      </w:r>
      <w:proofErr w:type="spellEnd"/>
      <w:r>
        <w:t xml:space="preserve"> will be held at the identified </w:t>
      </w:r>
      <w:r w:rsidR="00711D4D">
        <w:t xml:space="preserve">section of the identified prison in a cell which </w:t>
      </w:r>
      <w:r w:rsidR="004C5D10">
        <w:t>complies with the minimum international standards as to:</w:t>
      </w:r>
    </w:p>
    <w:p w14:paraId="79BDA877" w14:textId="77777777" w:rsidR="004951E5" w:rsidRDefault="004C5D10" w:rsidP="00292AC4">
      <w:pPr>
        <w:pStyle w:val="ParaLevel5"/>
        <w:numPr>
          <w:ilvl w:val="0"/>
          <w:numId w:val="0"/>
        </w:numPr>
        <w:ind w:left="1134" w:right="371"/>
      </w:pPr>
      <w:proofErr w:type="spellStart"/>
      <w:r>
        <w:t>i</w:t>
      </w:r>
      <w:proofErr w:type="spellEnd"/>
      <w:r>
        <w:t xml:space="preserve">. </w:t>
      </w:r>
      <w:r w:rsidR="004951E5">
        <w:t>space;</w:t>
      </w:r>
    </w:p>
    <w:p w14:paraId="0EE5B7CB" w14:textId="5FD3C854" w:rsidR="004951E5" w:rsidRDefault="004951E5" w:rsidP="00292AC4">
      <w:pPr>
        <w:pStyle w:val="ParaLevel5"/>
        <w:numPr>
          <w:ilvl w:val="0"/>
          <w:numId w:val="0"/>
        </w:numPr>
        <w:ind w:left="1134" w:right="371"/>
      </w:pPr>
      <w:r>
        <w:t>ii.</w:t>
      </w:r>
      <w:r w:rsidR="00C44C1B">
        <w:t xml:space="preserve"> </w:t>
      </w:r>
      <w:r>
        <w:t>sanitary facilities; and</w:t>
      </w:r>
    </w:p>
    <w:p w14:paraId="0DB3C106" w14:textId="77777777" w:rsidR="00C44C1B" w:rsidRDefault="004951E5" w:rsidP="00292AC4">
      <w:pPr>
        <w:pStyle w:val="ParaLevel5"/>
        <w:numPr>
          <w:ilvl w:val="0"/>
          <w:numId w:val="0"/>
        </w:numPr>
        <w:ind w:left="1134" w:right="371"/>
      </w:pPr>
      <w:r>
        <w:t>iii.</w:t>
      </w:r>
      <w:r w:rsidR="00C44C1B">
        <w:t xml:space="preserve"> an effective system of monitoring</w:t>
      </w:r>
    </w:p>
    <w:p w14:paraId="01871334" w14:textId="77777777" w:rsidR="00225C26" w:rsidRDefault="00C44C1B" w:rsidP="00292AC4">
      <w:pPr>
        <w:pStyle w:val="ParaLevel5"/>
        <w:numPr>
          <w:ilvl w:val="0"/>
          <w:numId w:val="0"/>
        </w:numPr>
        <w:ind w:left="1134" w:right="371"/>
      </w:pPr>
      <w:r>
        <w:t xml:space="preserve">so as to ensure that the rights of the appellant pursuant to </w:t>
      </w:r>
      <w:r w:rsidR="00225C26">
        <w:t>article 3 ECHR are not breached.</w:t>
      </w:r>
    </w:p>
    <w:p w14:paraId="1577098D" w14:textId="30267C72" w:rsidR="009573A8" w:rsidRDefault="00FA7093" w:rsidP="00292AC4">
      <w:pPr>
        <w:pStyle w:val="ParaLevel5"/>
        <w:numPr>
          <w:ilvl w:val="0"/>
          <w:numId w:val="15"/>
        </w:numPr>
        <w:ind w:left="1134" w:right="371" w:firstLine="0"/>
      </w:pPr>
      <w:r>
        <w:t xml:space="preserve">That </w:t>
      </w:r>
      <w:proofErr w:type="spellStart"/>
      <w:r>
        <w:t>Bilyan</w:t>
      </w:r>
      <w:proofErr w:type="spellEnd"/>
      <w:r>
        <w:t xml:space="preserve"> </w:t>
      </w:r>
      <w:proofErr w:type="spellStart"/>
      <w:r>
        <w:t>Mihaylov</w:t>
      </w:r>
      <w:proofErr w:type="spellEnd"/>
      <w:r>
        <w:t xml:space="preserve"> </w:t>
      </w:r>
      <w:r w:rsidR="002824F3">
        <w:t>will not be transferred to a different prison where these minimum standards are not met.</w:t>
      </w:r>
      <w:r w:rsidR="009573A8">
        <w:t>”</w:t>
      </w:r>
    </w:p>
    <w:p w14:paraId="65C7487D" w14:textId="6D46B614" w:rsidR="003B6E3F" w:rsidRDefault="007652E6" w:rsidP="00292AC4">
      <w:pPr>
        <w:pStyle w:val="ParaLevel1"/>
      </w:pPr>
      <w:r>
        <w:t>T</w:t>
      </w:r>
      <w:r w:rsidR="004B6FE1">
        <w:t xml:space="preserve">he </w:t>
      </w:r>
      <w:r w:rsidR="00906145">
        <w:t>subsequent</w:t>
      </w:r>
      <w:r w:rsidR="004B6FE1">
        <w:t xml:space="preserve"> assurance from the respondent is dated 22 March 2022</w:t>
      </w:r>
      <w:r w:rsidR="00F96E33">
        <w:t xml:space="preserve">. It provides as follows: </w:t>
      </w:r>
    </w:p>
    <w:p w14:paraId="3566C783" w14:textId="77777777" w:rsidR="006905D7" w:rsidRDefault="006905D7" w:rsidP="00292AC4">
      <w:pPr>
        <w:pStyle w:val="ListParagraph"/>
        <w:autoSpaceDE w:val="0"/>
        <w:autoSpaceDN w:val="0"/>
        <w:adjustRightInd w:val="0"/>
        <w:spacing w:after="0" w:line="240" w:lineRule="auto"/>
        <w:ind w:left="1134" w:right="371"/>
        <w:jc w:val="both"/>
        <w:rPr>
          <w:rFonts w:ascii="Times New Roman" w:hAnsi="Times New Roman"/>
          <w:sz w:val="24"/>
          <w:szCs w:val="24"/>
        </w:rPr>
      </w:pPr>
      <w:r>
        <w:t>“</w:t>
      </w:r>
      <w:r>
        <w:rPr>
          <w:rFonts w:ascii="Times New Roman" w:hAnsi="Times New Roman"/>
          <w:sz w:val="24"/>
          <w:szCs w:val="24"/>
        </w:rPr>
        <w:t xml:space="preserve">With regard to the </w:t>
      </w:r>
      <w:proofErr w:type="spellStart"/>
      <w:r>
        <w:rPr>
          <w:rFonts w:ascii="Times New Roman" w:hAnsi="Times New Roman"/>
          <w:sz w:val="24"/>
          <w:szCs w:val="24"/>
        </w:rPr>
        <w:t>EAW</w:t>
      </w:r>
      <w:proofErr w:type="spellEnd"/>
      <w:r>
        <w:rPr>
          <w:rFonts w:ascii="Times New Roman" w:hAnsi="Times New Roman"/>
          <w:sz w:val="24"/>
          <w:szCs w:val="24"/>
        </w:rPr>
        <w:t xml:space="preserve">, issued by the Bulgarian judicial authorities for the surrender of </w:t>
      </w:r>
      <w:proofErr w:type="spellStart"/>
      <w:r>
        <w:rPr>
          <w:rFonts w:ascii="Times New Roman" w:hAnsi="Times New Roman"/>
          <w:sz w:val="24"/>
          <w:szCs w:val="24"/>
        </w:rPr>
        <w:t>Bilyan</w:t>
      </w:r>
      <w:proofErr w:type="spellEnd"/>
      <w:r>
        <w:rPr>
          <w:rFonts w:ascii="Times New Roman" w:hAnsi="Times New Roman"/>
          <w:sz w:val="24"/>
          <w:szCs w:val="24"/>
        </w:rPr>
        <w:t xml:space="preserve"> </w:t>
      </w:r>
      <w:proofErr w:type="spellStart"/>
      <w:r>
        <w:rPr>
          <w:rFonts w:ascii="Times New Roman" w:hAnsi="Times New Roman"/>
          <w:sz w:val="24"/>
          <w:szCs w:val="24"/>
        </w:rPr>
        <w:t>Sashev</w:t>
      </w:r>
      <w:proofErr w:type="spellEnd"/>
      <w:r>
        <w:rPr>
          <w:rFonts w:ascii="Times New Roman" w:hAnsi="Times New Roman"/>
          <w:sz w:val="24"/>
          <w:szCs w:val="24"/>
        </w:rPr>
        <w:t xml:space="preserve"> </w:t>
      </w:r>
      <w:proofErr w:type="spellStart"/>
      <w:r>
        <w:rPr>
          <w:rFonts w:ascii="Times New Roman" w:hAnsi="Times New Roman"/>
          <w:sz w:val="24"/>
          <w:szCs w:val="24"/>
        </w:rPr>
        <w:t>Mihaylov</w:t>
      </w:r>
      <w:proofErr w:type="spellEnd"/>
      <w:r>
        <w:rPr>
          <w:rFonts w:ascii="Times New Roman" w:hAnsi="Times New Roman"/>
          <w:sz w:val="24"/>
          <w:szCs w:val="24"/>
        </w:rPr>
        <w:t xml:space="preserve"> and with reference to your questions, dated 25.02.2022, please find the answers to your questions as follows: </w:t>
      </w:r>
    </w:p>
    <w:p w14:paraId="4300CD06" w14:textId="0579E544" w:rsidR="006905D7" w:rsidRDefault="006905D7" w:rsidP="00292AC4">
      <w:pPr>
        <w:pStyle w:val="ListParagraph"/>
        <w:autoSpaceDE w:val="0"/>
        <w:autoSpaceDN w:val="0"/>
        <w:adjustRightInd w:val="0"/>
        <w:spacing w:after="0" w:line="240" w:lineRule="auto"/>
        <w:ind w:left="1134" w:right="371"/>
        <w:jc w:val="both"/>
        <w:rPr>
          <w:rFonts w:ascii="Times New Roman" w:hAnsi="Times New Roman"/>
          <w:sz w:val="24"/>
          <w:szCs w:val="24"/>
        </w:rPr>
      </w:pPr>
      <w:proofErr w:type="spellStart"/>
      <w:r>
        <w:rPr>
          <w:rFonts w:ascii="Times New Roman" w:hAnsi="Times New Roman"/>
          <w:sz w:val="24"/>
          <w:szCs w:val="24"/>
        </w:rPr>
        <w:t>Bilyan</w:t>
      </w:r>
      <w:proofErr w:type="spellEnd"/>
      <w:r>
        <w:rPr>
          <w:rFonts w:ascii="Times New Roman" w:hAnsi="Times New Roman"/>
          <w:sz w:val="24"/>
          <w:szCs w:val="24"/>
        </w:rPr>
        <w:t xml:space="preserve"> </w:t>
      </w:r>
      <w:proofErr w:type="spellStart"/>
      <w:r>
        <w:rPr>
          <w:rFonts w:ascii="Times New Roman" w:hAnsi="Times New Roman"/>
          <w:sz w:val="24"/>
          <w:szCs w:val="24"/>
        </w:rPr>
        <w:t>Sashev</w:t>
      </w:r>
      <w:proofErr w:type="spellEnd"/>
      <w:r>
        <w:rPr>
          <w:rFonts w:ascii="Times New Roman" w:hAnsi="Times New Roman"/>
          <w:sz w:val="24"/>
          <w:szCs w:val="24"/>
        </w:rPr>
        <w:t xml:space="preserve"> </w:t>
      </w:r>
      <w:proofErr w:type="spellStart"/>
      <w:r>
        <w:rPr>
          <w:rFonts w:ascii="Times New Roman" w:hAnsi="Times New Roman"/>
          <w:sz w:val="24"/>
          <w:szCs w:val="24"/>
        </w:rPr>
        <w:t>Mihaylov</w:t>
      </w:r>
      <w:proofErr w:type="spellEnd"/>
      <w:r>
        <w:rPr>
          <w:rFonts w:ascii="Times New Roman" w:hAnsi="Times New Roman"/>
          <w:sz w:val="24"/>
          <w:szCs w:val="24"/>
        </w:rPr>
        <w:t xml:space="preserve"> will be held in the </w:t>
      </w:r>
      <w:proofErr w:type="spellStart"/>
      <w:r>
        <w:rPr>
          <w:rFonts w:ascii="Times New Roman" w:hAnsi="Times New Roman"/>
          <w:sz w:val="24"/>
          <w:szCs w:val="24"/>
        </w:rPr>
        <w:t>Burgas</w:t>
      </w:r>
      <w:proofErr w:type="spellEnd"/>
      <w:r>
        <w:rPr>
          <w:rFonts w:ascii="Times New Roman" w:hAnsi="Times New Roman"/>
          <w:sz w:val="24"/>
          <w:szCs w:val="24"/>
        </w:rPr>
        <w:t xml:space="preserve"> prison (total capacity of the main buildings 1020 prisoners with 708 currently accommodated). Depending on the type of regime of serving the imposed sentence, </w:t>
      </w:r>
      <w:proofErr w:type="spellStart"/>
      <w:r>
        <w:rPr>
          <w:rFonts w:ascii="Times New Roman" w:hAnsi="Times New Roman"/>
          <w:sz w:val="24"/>
          <w:szCs w:val="24"/>
        </w:rPr>
        <w:t>Bilyan</w:t>
      </w:r>
      <w:proofErr w:type="spellEnd"/>
      <w:r>
        <w:rPr>
          <w:rFonts w:ascii="Times New Roman" w:hAnsi="Times New Roman"/>
          <w:sz w:val="24"/>
          <w:szCs w:val="24"/>
        </w:rPr>
        <w:t xml:space="preserve"> </w:t>
      </w:r>
      <w:proofErr w:type="spellStart"/>
      <w:r>
        <w:rPr>
          <w:rFonts w:ascii="Times New Roman" w:hAnsi="Times New Roman"/>
          <w:sz w:val="24"/>
          <w:szCs w:val="24"/>
        </w:rPr>
        <w:t>Sashev</w:t>
      </w:r>
      <w:proofErr w:type="spellEnd"/>
      <w:r>
        <w:rPr>
          <w:rFonts w:ascii="Times New Roman" w:hAnsi="Times New Roman"/>
          <w:sz w:val="24"/>
          <w:szCs w:val="24"/>
        </w:rPr>
        <w:t xml:space="preserve"> </w:t>
      </w:r>
      <w:proofErr w:type="spellStart"/>
      <w:r>
        <w:rPr>
          <w:rFonts w:ascii="Times New Roman" w:hAnsi="Times New Roman"/>
          <w:sz w:val="24"/>
          <w:szCs w:val="24"/>
        </w:rPr>
        <w:t>Mihaylov</w:t>
      </w:r>
      <w:proofErr w:type="spellEnd"/>
      <w:r>
        <w:rPr>
          <w:rFonts w:ascii="Times New Roman" w:hAnsi="Times New Roman"/>
          <w:sz w:val="24"/>
          <w:szCs w:val="24"/>
        </w:rPr>
        <w:t xml:space="preserve"> could be accommodated in the main building of the prison (total capacity 300 prisoners with 209 currently accommodated), in the closed</w:t>
      </w:r>
      <w:r>
        <w:rPr>
          <w:rFonts w:ascii="Times New Roman" w:hAnsi="Times New Roman"/>
          <w:sz w:val="24"/>
          <w:szCs w:val="24"/>
        </w:rPr>
        <w:footnoteRef/>
      </w:r>
      <w:r>
        <w:rPr>
          <w:rFonts w:ascii="Times New Roman" w:hAnsi="Times New Roman"/>
          <w:sz w:val="24"/>
          <w:szCs w:val="24"/>
        </w:rPr>
        <w:t>type prison dormitory “</w:t>
      </w:r>
      <w:proofErr w:type="spellStart"/>
      <w:r>
        <w:rPr>
          <w:rFonts w:ascii="Times New Roman" w:hAnsi="Times New Roman"/>
          <w:sz w:val="24"/>
          <w:szCs w:val="24"/>
        </w:rPr>
        <w:t>Debelt</w:t>
      </w:r>
      <w:proofErr w:type="spellEnd"/>
      <w:r>
        <w:rPr>
          <w:rFonts w:ascii="Times New Roman" w:hAnsi="Times New Roman"/>
          <w:sz w:val="24"/>
          <w:szCs w:val="24"/>
        </w:rPr>
        <w:t>” (total capacity 276 prisoners with 273 currently accommodated), or in the open-type prison dormitories “</w:t>
      </w:r>
      <w:proofErr w:type="spellStart"/>
      <w:r>
        <w:rPr>
          <w:rFonts w:ascii="Times New Roman" w:hAnsi="Times New Roman"/>
          <w:sz w:val="24"/>
          <w:szCs w:val="24"/>
        </w:rPr>
        <w:t>Zhitarovo</w:t>
      </w:r>
      <w:proofErr w:type="spellEnd"/>
      <w:r>
        <w:rPr>
          <w:rFonts w:ascii="Times New Roman" w:hAnsi="Times New Roman"/>
          <w:sz w:val="24"/>
          <w:szCs w:val="24"/>
        </w:rPr>
        <w:t>”, “</w:t>
      </w:r>
      <w:proofErr w:type="spellStart"/>
      <w:r>
        <w:rPr>
          <w:rFonts w:ascii="Times New Roman" w:hAnsi="Times New Roman"/>
          <w:sz w:val="24"/>
          <w:szCs w:val="24"/>
        </w:rPr>
        <w:t>Debelt</w:t>
      </w:r>
      <w:proofErr w:type="spellEnd"/>
      <w:r>
        <w:rPr>
          <w:rFonts w:ascii="Times New Roman" w:hAnsi="Times New Roman"/>
          <w:sz w:val="24"/>
          <w:szCs w:val="24"/>
        </w:rPr>
        <w:t xml:space="preserve"> 1” and “</w:t>
      </w:r>
      <w:proofErr w:type="spellStart"/>
      <w:r>
        <w:rPr>
          <w:rFonts w:ascii="Times New Roman" w:hAnsi="Times New Roman"/>
          <w:sz w:val="24"/>
          <w:szCs w:val="24"/>
        </w:rPr>
        <w:t>Razdelna</w:t>
      </w:r>
      <w:proofErr w:type="spellEnd"/>
      <w:r>
        <w:rPr>
          <w:rFonts w:ascii="Times New Roman" w:hAnsi="Times New Roman"/>
          <w:sz w:val="24"/>
          <w:szCs w:val="24"/>
        </w:rPr>
        <w:t xml:space="preserve">” (total capacity 220 with 226 currently accommodated). The capacity of the prison divisions are based on 4 </w:t>
      </w:r>
      <w:proofErr w:type="spellStart"/>
      <w:r>
        <w:rPr>
          <w:rFonts w:ascii="Times New Roman" w:hAnsi="Times New Roman"/>
          <w:sz w:val="24"/>
          <w:szCs w:val="24"/>
        </w:rPr>
        <w:t>sq.m</w:t>
      </w:r>
      <w:proofErr w:type="spellEnd"/>
      <w:r>
        <w:rPr>
          <w:rFonts w:ascii="Times New Roman" w:hAnsi="Times New Roman"/>
          <w:sz w:val="24"/>
          <w:szCs w:val="24"/>
        </w:rPr>
        <w:t xml:space="preserve">. space per prisoner. </w:t>
      </w:r>
    </w:p>
    <w:p w14:paraId="305D0C44" w14:textId="77777777" w:rsidR="00AF2B80" w:rsidRDefault="00AF2B80" w:rsidP="00292AC4">
      <w:pPr>
        <w:pStyle w:val="ListParagraph"/>
        <w:autoSpaceDE w:val="0"/>
        <w:autoSpaceDN w:val="0"/>
        <w:adjustRightInd w:val="0"/>
        <w:spacing w:after="0" w:line="240" w:lineRule="auto"/>
        <w:ind w:left="1134" w:right="371"/>
        <w:jc w:val="both"/>
        <w:rPr>
          <w:rFonts w:ascii="Times New Roman" w:hAnsi="Times New Roman"/>
          <w:sz w:val="24"/>
          <w:szCs w:val="24"/>
        </w:rPr>
      </w:pPr>
    </w:p>
    <w:p w14:paraId="10C63041" w14:textId="7CAC46C5" w:rsidR="006905D7" w:rsidRDefault="006905D7" w:rsidP="00292AC4">
      <w:pPr>
        <w:pStyle w:val="ListParagraph"/>
        <w:autoSpaceDE w:val="0"/>
        <w:autoSpaceDN w:val="0"/>
        <w:adjustRightInd w:val="0"/>
        <w:spacing w:after="0" w:line="240" w:lineRule="auto"/>
        <w:ind w:left="1134" w:right="371"/>
        <w:jc w:val="both"/>
        <w:rPr>
          <w:rFonts w:ascii="Times New Roman" w:hAnsi="Times New Roman"/>
          <w:sz w:val="24"/>
          <w:szCs w:val="24"/>
        </w:rPr>
      </w:pPr>
      <w:r>
        <w:rPr>
          <w:rFonts w:ascii="Times New Roman" w:hAnsi="Times New Roman"/>
          <w:sz w:val="24"/>
          <w:szCs w:val="24"/>
        </w:rPr>
        <w:t xml:space="preserve">Considering the current occupation and the living conditions available in the prison and the prison dormitories, we shall make the necessary efforts to place </w:t>
      </w:r>
      <w:proofErr w:type="spellStart"/>
      <w:r>
        <w:rPr>
          <w:rFonts w:ascii="Times New Roman" w:hAnsi="Times New Roman"/>
          <w:sz w:val="24"/>
          <w:szCs w:val="24"/>
        </w:rPr>
        <w:t>Bilyan</w:t>
      </w:r>
      <w:proofErr w:type="spellEnd"/>
      <w:r>
        <w:rPr>
          <w:rFonts w:ascii="Times New Roman" w:hAnsi="Times New Roman"/>
          <w:sz w:val="24"/>
          <w:szCs w:val="24"/>
        </w:rPr>
        <w:t xml:space="preserve"> </w:t>
      </w:r>
      <w:proofErr w:type="spellStart"/>
      <w:r>
        <w:rPr>
          <w:rFonts w:ascii="Times New Roman" w:hAnsi="Times New Roman"/>
          <w:sz w:val="24"/>
          <w:szCs w:val="24"/>
        </w:rPr>
        <w:t>Sashev</w:t>
      </w:r>
      <w:proofErr w:type="spellEnd"/>
      <w:r>
        <w:rPr>
          <w:rFonts w:ascii="Times New Roman" w:hAnsi="Times New Roman"/>
          <w:sz w:val="24"/>
          <w:szCs w:val="24"/>
        </w:rPr>
        <w:t xml:space="preserve"> </w:t>
      </w:r>
      <w:proofErr w:type="spellStart"/>
      <w:r>
        <w:rPr>
          <w:rFonts w:ascii="Times New Roman" w:hAnsi="Times New Roman"/>
          <w:sz w:val="24"/>
          <w:szCs w:val="24"/>
        </w:rPr>
        <w:t>Mihaylov</w:t>
      </w:r>
      <w:proofErr w:type="spellEnd"/>
      <w:r>
        <w:rPr>
          <w:rFonts w:ascii="Times New Roman" w:hAnsi="Times New Roman"/>
          <w:sz w:val="24"/>
          <w:szCs w:val="24"/>
        </w:rPr>
        <w:t xml:space="preserve"> in a dormitory conformant with the </w:t>
      </w:r>
      <w:r>
        <w:rPr>
          <w:rFonts w:ascii="Times New Roman" w:hAnsi="Times New Roman"/>
          <w:sz w:val="24"/>
          <w:szCs w:val="24"/>
        </w:rPr>
        <w:lastRenderedPageBreak/>
        <w:t xml:space="preserve">requirements of the Implementation of Penal Sanctions and Detention in Custody Act (see Art. 43, para 4 in Annex 1) and the minimum European standards. </w:t>
      </w:r>
      <w:proofErr w:type="spellStart"/>
      <w:r>
        <w:rPr>
          <w:rFonts w:ascii="Times New Roman" w:hAnsi="Times New Roman"/>
          <w:sz w:val="24"/>
          <w:szCs w:val="24"/>
        </w:rPr>
        <w:t>Bilyan</w:t>
      </w:r>
      <w:proofErr w:type="spellEnd"/>
      <w:r>
        <w:rPr>
          <w:rFonts w:ascii="Times New Roman" w:hAnsi="Times New Roman"/>
          <w:sz w:val="24"/>
          <w:szCs w:val="24"/>
        </w:rPr>
        <w:t xml:space="preserve"> </w:t>
      </w:r>
      <w:proofErr w:type="spellStart"/>
      <w:r>
        <w:rPr>
          <w:rFonts w:ascii="Times New Roman" w:hAnsi="Times New Roman"/>
          <w:sz w:val="24"/>
          <w:szCs w:val="24"/>
        </w:rPr>
        <w:t>Sashev</w:t>
      </w:r>
      <w:proofErr w:type="spellEnd"/>
      <w:r>
        <w:rPr>
          <w:rFonts w:ascii="Times New Roman" w:hAnsi="Times New Roman"/>
          <w:sz w:val="24"/>
          <w:szCs w:val="24"/>
        </w:rPr>
        <w:t xml:space="preserve"> </w:t>
      </w:r>
      <w:proofErr w:type="spellStart"/>
      <w:r>
        <w:rPr>
          <w:rFonts w:ascii="Times New Roman" w:hAnsi="Times New Roman"/>
          <w:sz w:val="24"/>
          <w:szCs w:val="24"/>
        </w:rPr>
        <w:t>Mihaylov</w:t>
      </w:r>
      <w:proofErr w:type="spellEnd"/>
      <w:r>
        <w:rPr>
          <w:rFonts w:ascii="Times New Roman" w:hAnsi="Times New Roman"/>
          <w:sz w:val="24"/>
          <w:szCs w:val="24"/>
        </w:rPr>
        <w:t xml:space="preserve"> will be kept in a cell, which provides him with four square meters of space, not including the sanitary facilities at all times throughout his detention. </w:t>
      </w:r>
    </w:p>
    <w:p w14:paraId="7823EB00" w14:textId="77777777" w:rsidR="00AF2B80" w:rsidRDefault="00AF2B80" w:rsidP="00292AC4">
      <w:pPr>
        <w:pStyle w:val="ListParagraph"/>
        <w:autoSpaceDE w:val="0"/>
        <w:autoSpaceDN w:val="0"/>
        <w:adjustRightInd w:val="0"/>
        <w:spacing w:after="0" w:line="240" w:lineRule="auto"/>
        <w:ind w:left="1134" w:right="371"/>
        <w:jc w:val="both"/>
        <w:rPr>
          <w:rFonts w:ascii="Times New Roman" w:hAnsi="Times New Roman"/>
          <w:sz w:val="24"/>
          <w:szCs w:val="24"/>
        </w:rPr>
      </w:pPr>
    </w:p>
    <w:p w14:paraId="1E35F59F" w14:textId="14FB4D86" w:rsidR="006905D7" w:rsidRDefault="006905D7" w:rsidP="00292AC4">
      <w:pPr>
        <w:pStyle w:val="ListParagraph"/>
        <w:autoSpaceDE w:val="0"/>
        <w:autoSpaceDN w:val="0"/>
        <w:adjustRightInd w:val="0"/>
        <w:spacing w:after="0" w:line="240" w:lineRule="auto"/>
        <w:ind w:left="1134" w:right="371"/>
        <w:jc w:val="both"/>
        <w:rPr>
          <w:rFonts w:ascii="Times New Roman" w:hAnsi="Times New Roman"/>
          <w:sz w:val="24"/>
          <w:szCs w:val="24"/>
        </w:rPr>
      </w:pPr>
      <w:r>
        <w:rPr>
          <w:rFonts w:ascii="Times New Roman" w:hAnsi="Times New Roman"/>
          <w:sz w:val="24"/>
          <w:szCs w:val="24"/>
        </w:rPr>
        <w:t xml:space="preserve">In case a transfer to another prison is required the inmate will enjoy the rights and living conditions as foreseen by the national law and the minimum European standards (see Art. 63, para 1, item 5 of the Act in Annex 1). </w:t>
      </w:r>
    </w:p>
    <w:p w14:paraId="07D9BE29" w14:textId="77777777" w:rsidR="00AF2B80" w:rsidRDefault="00AF2B80" w:rsidP="00292AC4">
      <w:pPr>
        <w:pStyle w:val="ListParagraph"/>
        <w:autoSpaceDE w:val="0"/>
        <w:autoSpaceDN w:val="0"/>
        <w:adjustRightInd w:val="0"/>
        <w:spacing w:after="0" w:line="240" w:lineRule="auto"/>
        <w:ind w:left="1134" w:right="371"/>
        <w:jc w:val="both"/>
        <w:rPr>
          <w:rFonts w:ascii="Times New Roman" w:hAnsi="Times New Roman"/>
          <w:sz w:val="24"/>
          <w:szCs w:val="24"/>
        </w:rPr>
      </w:pPr>
    </w:p>
    <w:p w14:paraId="171C9D98" w14:textId="4760F260" w:rsidR="006905D7" w:rsidRDefault="006905D7" w:rsidP="00292AC4">
      <w:pPr>
        <w:pStyle w:val="ListParagraph"/>
        <w:autoSpaceDE w:val="0"/>
        <w:autoSpaceDN w:val="0"/>
        <w:adjustRightInd w:val="0"/>
        <w:spacing w:after="0" w:line="240" w:lineRule="auto"/>
        <w:ind w:left="1134" w:right="371"/>
        <w:jc w:val="both"/>
        <w:rPr>
          <w:rFonts w:ascii="Times New Roman" w:hAnsi="Times New Roman"/>
          <w:sz w:val="24"/>
          <w:szCs w:val="24"/>
        </w:rPr>
      </w:pPr>
      <w:r>
        <w:rPr>
          <w:rFonts w:ascii="Times New Roman" w:hAnsi="Times New Roman"/>
          <w:sz w:val="24"/>
          <w:szCs w:val="24"/>
        </w:rPr>
        <w:t xml:space="preserve">The premises in the prison in </w:t>
      </w:r>
      <w:proofErr w:type="spellStart"/>
      <w:r>
        <w:rPr>
          <w:rFonts w:ascii="Times New Roman" w:hAnsi="Times New Roman"/>
          <w:sz w:val="24"/>
          <w:szCs w:val="24"/>
        </w:rPr>
        <w:t>Burgas</w:t>
      </w:r>
      <w:proofErr w:type="spellEnd"/>
      <w:r>
        <w:rPr>
          <w:rFonts w:ascii="Times New Roman" w:hAnsi="Times New Roman"/>
          <w:sz w:val="24"/>
          <w:szCs w:val="24"/>
        </w:rPr>
        <w:t xml:space="preserve"> are as standard equipped with a sink, bathrooms with constantly flowing hot and cold water, sufficient daylight and the possibility of fresh air. All persons are provided with daily outdoor stays in specially designated areas. According to schedules approved by the head of the prison, prisoners can use the common areas - gym, library, chapel, etc., and each of the events has a different duration, according to the daily regime in the prison. </w:t>
      </w:r>
    </w:p>
    <w:p w14:paraId="6D3F31A7" w14:textId="77777777" w:rsidR="00AF2B80" w:rsidRDefault="00AF2B80" w:rsidP="00292AC4">
      <w:pPr>
        <w:pStyle w:val="ListParagraph"/>
        <w:autoSpaceDE w:val="0"/>
        <w:autoSpaceDN w:val="0"/>
        <w:adjustRightInd w:val="0"/>
        <w:spacing w:after="0" w:line="240" w:lineRule="auto"/>
        <w:ind w:left="1134" w:right="371"/>
        <w:jc w:val="both"/>
        <w:rPr>
          <w:rFonts w:ascii="Times New Roman" w:hAnsi="Times New Roman"/>
          <w:sz w:val="24"/>
          <w:szCs w:val="24"/>
        </w:rPr>
      </w:pPr>
    </w:p>
    <w:p w14:paraId="3FD698F9" w14:textId="2C60B946" w:rsidR="006905D7" w:rsidRDefault="006905D7" w:rsidP="00292AC4">
      <w:pPr>
        <w:pStyle w:val="ListParagraph"/>
        <w:autoSpaceDE w:val="0"/>
        <w:autoSpaceDN w:val="0"/>
        <w:adjustRightInd w:val="0"/>
        <w:spacing w:after="0" w:line="240" w:lineRule="auto"/>
        <w:ind w:left="1134" w:right="371"/>
        <w:jc w:val="both"/>
        <w:rPr>
          <w:rFonts w:ascii="Times New Roman" w:hAnsi="Times New Roman"/>
          <w:sz w:val="24"/>
          <w:szCs w:val="24"/>
        </w:rPr>
      </w:pPr>
      <w:r>
        <w:rPr>
          <w:rFonts w:ascii="Times New Roman" w:hAnsi="Times New Roman"/>
          <w:sz w:val="24"/>
          <w:szCs w:val="24"/>
        </w:rPr>
        <w:t xml:space="preserve">To ensure their established and social status, various activities are carried out to implement communication and social skills, to change attitudes and ways of thinking, to build up work habits, and to acquire a profession, aimed at protecting their physical and mental health, contributing to their future reintegration into society. </w:t>
      </w:r>
    </w:p>
    <w:p w14:paraId="15B07199" w14:textId="77777777" w:rsidR="00AF2B80" w:rsidRDefault="00AF2B80" w:rsidP="00292AC4">
      <w:pPr>
        <w:pStyle w:val="ListParagraph"/>
        <w:autoSpaceDE w:val="0"/>
        <w:autoSpaceDN w:val="0"/>
        <w:adjustRightInd w:val="0"/>
        <w:spacing w:after="0" w:line="240" w:lineRule="auto"/>
        <w:ind w:left="1134" w:right="371"/>
        <w:jc w:val="both"/>
        <w:rPr>
          <w:rFonts w:ascii="Times New Roman" w:hAnsi="Times New Roman"/>
          <w:sz w:val="24"/>
          <w:szCs w:val="24"/>
        </w:rPr>
      </w:pPr>
    </w:p>
    <w:p w14:paraId="77E78240" w14:textId="6990BF2B" w:rsidR="00F96E33" w:rsidRPr="006905D7" w:rsidRDefault="006905D7" w:rsidP="00292AC4">
      <w:pPr>
        <w:pStyle w:val="ListParagraph"/>
        <w:autoSpaceDE w:val="0"/>
        <w:autoSpaceDN w:val="0"/>
        <w:adjustRightInd w:val="0"/>
        <w:spacing w:after="0" w:line="240" w:lineRule="auto"/>
        <w:ind w:left="1134" w:right="371"/>
        <w:jc w:val="both"/>
        <w:rPr>
          <w:rFonts w:ascii="Times New Roman" w:hAnsi="Times New Roman"/>
          <w:sz w:val="24"/>
          <w:szCs w:val="24"/>
        </w:rPr>
      </w:pPr>
      <w:r>
        <w:rPr>
          <w:rFonts w:ascii="Times New Roman" w:hAnsi="Times New Roman"/>
          <w:sz w:val="24"/>
          <w:szCs w:val="24"/>
        </w:rPr>
        <w:t>Prisoners can meet with lawyers in private and correspond without restriction…</w:t>
      </w:r>
      <w:r>
        <w:t>”</w:t>
      </w:r>
    </w:p>
    <w:p w14:paraId="3FEABC64" w14:textId="11D43E1A" w:rsidR="00FF0422" w:rsidRDefault="00F96E33" w:rsidP="00292AC4">
      <w:pPr>
        <w:pStyle w:val="ParaLevel1"/>
        <w:numPr>
          <w:ilvl w:val="0"/>
          <w:numId w:val="0"/>
        </w:numPr>
        <w:ind w:left="720"/>
      </w:pPr>
      <w:r>
        <w:t xml:space="preserve">The letter </w:t>
      </w:r>
      <w:r w:rsidR="002F62D4">
        <w:t>then</w:t>
      </w:r>
      <w:r>
        <w:t xml:space="preserve"> goes on to deal with the</w:t>
      </w:r>
      <w:r w:rsidR="005A4F60">
        <w:t xml:space="preserve"> </w:t>
      </w:r>
      <w:r w:rsidR="002F62D4">
        <w:t xml:space="preserve">detailed </w:t>
      </w:r>
      <w:r>
        <w:t>arrangem</w:t>
      </w:r>
      <w:r w:rsidR="005A4F60">
        <w:t>e</w:t>
      </w:r>
      <w:r>
        <w:t xml:space="preserve">nts for meeting lawyers in private without </w:t>
      </w:r>
      <w:r w:rsidR="005A4F60">
        <w:t>restriction</w:t>
      </w:r>
      <w:r w:rsidR="00BA03BF">
        <w:t>, he</w:t>
      </w:r>
      <w:r w:rsidR="00C5388B">
        <w:t>a</w:t>
      </w:r>
      <w:r w:rsidR="00BA03BF">
        <w:t>lthcare</w:t>
      </w:r>
      <w:r w:rsidR="005A4F60">
        <w:t xml:space="preserve"> and other matters. </w:t>
      </w:r>
    </w:p>
    <w:p w14:paraId="1F79AC1B" w14:textId="7C627357" w:rsidR="00B93D08" w:rsidRDefault="007D3412" w:rsidP="00292AC4">
      <w:pPr>
        <w:pStyle w:val="ParaLevel1"/>
      </w:pPr>
      <w:r>
        <w:t>The court also ha</w:t>
      </w:r>
      <w:r w:rsidR="007B154E">
        <w:t>s</w:t>
      </w:r>
      <w:r>
        <w:t xml:space="preserve"> </w:t>
      </w:r>
      <w:r w:rsidR="00C5388B">
        <w:t xml:space="preserve">specific </w:t>
      </w:r>
      <w:r>
        <w:t xml:space="preserve">evidence about </w:t>
      </w:r>
      <w:proofErr w:type="spellStart"/>
      <w:r>
        <w:t>Burgas</w:t>
      </w:r>
      <w:proofErr w:type="spellEnd"/>
      <w:r>
        <w:t xml:space="preserve"> prison</w:t>
      </w:r>
      <w:r w:rsidR="00C8544E">
        <w:t>, where the appellant will be held</w:t>
      </w:r>
      <w:r>
        <w:t xml:space="preserve">. </w:t>
      </w:r>
      <w:r w:rsidR="00C70BA5">
        <w:t>T</w:t>
      </w:r>
      <w:r>
        <w:t xml:space="preserve">he report of the Council of Europe dated 4 May 2018 (CPT/IMF(2018)15) not only sets out </w:t>
      </w:r>
      <w:r w:rsidR="0029745E">
        <w:t xml:space="preserve">the </w:t>
      </w:r>
      <w:r>
        <w:t xml:space="preserve">improvements in the </w:t>
      </w:r>
      <w:r w:rsidR="00882890">
        <w:t xml:space="preserve">Bulgarian </w:t>
      </w:r>
      <w:r>
        <w:t xml:space="preserve">prison estate generally, but at </w:t>
      </w:r>
      <w:proofErr w:type="spellStart"/>
      <w:r>
        <w:t>Burgas</w:t>
      </w:r>
      <w:proofErr w:type="spellEnd"/>
      <w:r>
        <w:t xml:space="preserve"> prison in particular. Th</w:t>
      </w:r>
      <w:r w:rsidR="00F0436F">
        <w:t>e report</w:t>
      </w:r>
      <w:r>
        <w:t xml:space="preserve"> referred to the refurbished areas of </w:t>
      </w:r>
      <w:proofErr w:type="spellStart"/>
      <w:r>
        <w:t>Burgas</w:t>
      </w:r>
      <w:proofErr w:type="spellEnd"/>
      <w:r>
        <w:t xml:space="preserve"> prison offering “good material conditions” which are then set out. The report at [73] indicated that the prison would be completely refurbished by the end of 2017. The Bulgarian Government response </w:t>
      </w:r>
      <w:r w:rsidR="00AA1C2E">
        <w:t xml:space="preserve">to the report </w:t>
      </w:r>
      <w:r>
        <w:t>suggests that that has now happened. There is certainly no evidence to indicate that it has not.</w:t>
      </w:r>
    </w:p>
    <w:p w14:paraId="55A6EC27" w14:textId="07CC95A4" w:rsidR="00AB0E16" w:rsidRDefault="000E7528" w:rsidP="00292AC4">
      <w:pPr>
        <w:pStyle w:val="ParaLevel1"/>
      </w:pPr>
      <w:r>
        <w:t xml:space="preserve">The evidence relied on by the appellant </w:t>
      </w:r>
      <w:r w:rsidR="00882890">
        <w:t xml:space="preserve">in respect of Ground 2 </w:t>
      </w:r>
      <w:r w:rsidR="00CA15A1">
        <w:t xml:space="preserve">did not come from him. Instead, it </w:t>
      </w:r>
      <w:r>
        <w:t xml:space="preserve">concerned two individuals, Mr </w:t>
      </w:r>
      <w:proofErr w:type="spellStart"/>
      <w:r>
        <w:t>Zdravkov</w:t>
      </w:r>
      <w:proofErr w:type="spellEnd"/>
      <w:r>
        <w:t xml:space="preserve"> and Mr </w:t>
      </w:r>
      <w:r w:rsidR="00F33C8E">
        <w:t>Kolev</w:t>
      </w:r>
      <w:r w:rsidR="00B56632">
        <w:t xml:space="preserve">, </w:t>
      </w:r>
      <w:r w:rsidR="00950B21">
        <w:t>where</w:t>
      </w:r>
      <w:r w:rsidR="00B56632">
        <w:t xml:space="preserve"> it is said that assurances were provided and </w:t>
      </w:r>
      <w:r w:rsidR="004C11DF">
        <w:t>subsequently breached</w:t>
      </w:r>
      <w:r w:rsidR="00F33C8E">
        <w:t xml:space="preserve">. The evidence in respect of Mr </w:t>
      </w:r>
      <w:proofErr w:type="spellStart"/>
      <w:r w:rsidR="00F33C8E">
        <w:t>Zdravkov</w:t>
      </w:r>
      <w:proofErr w:type="spellEnd"/>
      <w:r w:rsidR="00F33C8E">
        <w:t xml:space="preserve"> </w:t>
      </w:r>
      <w:r w:rsidR="00E465AC">
        <w:t xml:space="preserve">dealt with his </w:t>
      </w:r>
      <w:r w:rsidR="007B1B33">
        <w:t xml:space="preserve">assurance </w:t>
      </w:r>
      <w:r w:rsidR="000C39EA">
        <w:t xml:space="preserve">and his incarceration in </w:t>
      </w:r>
      <w:r w:rsidR="00852ED5">
        <w:t xml:space="preserve">Varna, </w:t>
      </w:r>
      <w:proofErr w:type="spellStart"/>
      <w:r w:rsidR="00852ED5">
        <w:t>Bel</w:t>
      </w:r>
      <w:r w:rsidR="00B552CE">
        <w:t>e</w:t>
      </w:r>
      <w:r w:rsidR="00852ED5">
        <w:t>ne</w:t>
      </w:r>
      <w:proofErr w:type="spellEnd"/>
      <w:r w:rsidR="00852ED5">
        <w:t xml:space="preserve"> and Sofia prisons. </w:t>
      </w:r>
      <w:r w:rsidR="008153C1">
        <w:t xml:space="preserve">The period covered was 2017 to early 2019. </w:t>
      </w:r>
      <w:r w:rsidR="00852ED5">
        <w:t xml:space="preserve">In summary, it </w:t>
      </w:r>
      <w:r w:rsidR="00A67A48">
        <w:t>is said</w:t>
      </w:r>
      <w:r w:rsidR="00852ED5">
        <w:t xml:space="preserve"> </w:t>
      </w:r>
      <w:r w:rsidR="004C11DF">
        <w:t xml:space="preserve">on behalf of the appellant </w:t>
      </w:r>
      <w:r w:rsidR="00852ED5">
        <w:t>that there w</w:t>
      </w:r>
      <w:r w:rsidR="00CE36B0">
        <w:t>ere</w:t>
      </w:r>
      <w:r w:rsidR="00852ED5">
        <w:t xml:space="preserve"> breach</w:t>
      </w:r>
      <w:r w:rsidR="00CE36B0">
        <w:t>es</w:t>
      </w:r>
      <w:r w:rsidR="00852ED5">
        <w:t xml:space="preserve"> of the assurance</w:t>
      </w:r>
      <w:r w:rsidR="00CE36B0">
        <w:t xml:space="preserve">s in Mr </w:t>
      </w:r>
      <w:proofErr w:type="spellStart"/>
      <w:r w:rsidR="00CE36B0">
        <w:t>Zdravkov’s</w:t>
      </w:r>
      <w:proofErr w:type="spellEnd"/>
      <w:r w:rsidR="00CE36B0">
        <w:t xml:space="preserve"> </w:t>
      </w:r>
      <w:r w:rsidR="00250DD4">
        <w:t>case</w:t>
      </w:r>
      <w:r w:rsidR="00852ED5">
        <w:t>.</w:t>
      </w:r>
      <w:r w:rsidR="00B552CE">
        <w:t xml:space="preserve"> </w:t>
      </w:r>
    </w:p>
    <w:p w14:paraId="38C5A7D6" w14:textId="2D5B2104" w:rsidR="00FB6AD6" w:rsidRDefault="00AB0E16" w:rsidP="00292AC4">
      <w:pPr>
        <w:pStyle w:val="ParaLevel1"/>
      </w:pPr>
      <w:r>
        <w:t xml:space="preserve">I have </w:t>
      </w:r>
      <w:r w:rsidR="00906145">
        <w:t>some</w:t>
      </w:r>
      <w:r w:rsidR="00D177CA">
        <w:t xml:space="preserve"> </w:t>
      </w:r>
      <w:r>
        <w:t xml:space="preserve">reservations </w:t>
      </w:r>
      <w:r w:rsidR="00D177CA">
        <w:t xml:space="preserve">about </w:t>
      </w:r>
      <w:r w:rsidR="00222AA4">
        <w:t>this</w:t>
      </w:r>
      <w:r>
        <w:t xml:space="preserve"> evidence</w:t>
      </w:r>
      <w:r w:rsidR="00123110">
        <w:t xml:space="preserve"> because it</w:t>
      </w:r>
      <w:r>
        <w:t xml:space="preserve"> did not come from Mr </w:t>
      </w:r>
      <w:proofErr w:type="spellStart"/>
      <w:r>
        <w:t>Z</w:t>
      </w:r>
      <w:r w:rsidR="00491FE3">
        <w:t>dravkov</w:t>
      </w:r>
      <w:proofErr w:type="spellEnd"/>
      <w:r w:rsidR="00491FE3">
        <w:t xml:space="preserve"> himself </w:t>
      </w:r>
      <w:r w:rsidR="00123110">
        <w:t>(</w:t>
      </w:r>
      <w:r w:rsidR="00491FE3">
        <w:t>so it was arguably hearsay</w:t>
      </w:r>
      <w:r w:rsidR="00123110">
        <w:t>)</w:t>
      </w:r>
      <w:r w:rsidR="00491FE3">
        <w:t xml:space="preserve">. </w:t>
      </w:r>
      <w:r w:rsidR="00250DD4">
        <w:t>More significantly, t</w:t>
      </w:r>
      <w:r w:rsidR="00BE643C">
        <w:t>he same evidence</w:t>
      </w:r>
      <w:r w:rsidR="00491FE3">
        <w:t xml:space="preserve"> </w:t>
      </w:r>
      <w:r w:rsidR="00BD462A">
        <w:t xml:space="preserve">regarding Mr </w:t>
      </w:r>
      <w:proofErr w:type="spellStart"/>
      <w:r w:rsidR="00BD462A">
        <w:t>Zdravkov</w:t>
      </w:r>
      <w:proofErr w:type="spellEnd"/>
      <w:r w:rsidR="00BD462A">
        <w:t xml:space="preserve"> </w:t>
      </w:r>
      <w:r w:rsidR="00491FE3">
        <w:t>was before th</w:t>
      </w:r>
      <w:r w:rsidR="00222AA4">
        <w:t>is</w:t>
      </w:r>
      <w:r w:rsidR="00491FE3">
        <w:t xml:space="preserve"> court in </w:t>
      </w:r>
      <w:proofErr w:type="spellStart"/>
      <w:r w:rsidR="00491FE3" w:rsidRPr="00222AA4">
        <w:rPr>
          <w:i/>
          <w:iCs/>
        </w:rPr>
        <w:t>Chech</w:t>
      </w:r>
      <w:r w:rsidR="00222AA4" w:rsidRPr="00222AA4">
        <w:rPr>
          <w:i/>
          <w:iCs/>
        </w:rPr>
        <w:t>ov</w:t>
      </w:r>
      <w:proofErr w:type="spellEnd"/>
      <w:r w:rsidR="00222AA4">
        <w:rPr>
          <w:i/>
          <w:iCs/>
        </w:rPr>
        <w:t xml:space="preserve"> </w:t>
      </w:r>
      <w:r w:rsidR="00FA302E">
        <w:rPr>
          <w:i/>
          <w:iCs/>
        </w:rPr>
        <w:t>2</w:t>
      </w:r>
      <w:r w:rsidR="00914081">
        <w:rPr>
          <w:i/>
          <w:iCs/>
        </w:rPr>
        <w:t>,</w:t>
      </w:r>
      <w:r w:rsidR="00222AA4" w:rsidRPr="00222AA4">
        <w:rPr>
          <w:i/>
          <w:iCs/>
        </w:rPr>
        <w:t xml:space="preserve"> </w:t>
      </w:r>
      <w:r w:rsidR="00222AA4">
        <w:t xml:space="preserve">where </w:t>
      </w:r>
      <w:r w:rsidR="002215CA">
        <w:t>the suggestion that it showed that the assurances in those cases were unreliable</w:t>
      </w:r>
      <w:r w:rsidR="00547B75">
        <w:t xml:space="preserve"> was rejected at [45]</w:t>
      </w:r>
      <w:r w:rsidR="00222AA4">
        <w:t xml:space="preserve">. </w:t>
      </w:r>
      <w:r w:rsidR="00914081">
        <w:t xml:space="preserve">Most </w:t>
      </w:r>
      <w:r w:rsidR="00914081">
        <w:lastRenderedPageBreak/>
        <w:t>important of all, a</w:t>
      </w:r>
      <w:r w:rsidR="00B552CE">
        <w:t xml:space="preserve">t no time was </w:t>
      </w:r>
      <w:r w:rsidR="00914081">
        <w:t xml:space="preserve">Mr </w:t>
      </w:r>
      <w:proofErr w:type="spellStart"/>
      <w:r w:rsidR="00914081">
        <w:t>Zdravkov</w:t>
      </w:r>
      <w:proofErr w:type="spellEnd"/>
      <w:r w:rsidR="00B552CE">
        <w:t xml:space="preserve"> detained at </w:t>
      </w:r>
      <w:proofErr w:type="spellStart"/>
      <w:r w:rsidR="00B552CE">
        <w:t>Burgas</w:t>
      </w:r>
      <w:proofErr w:type="spellEnd"/>
      <w:r w:rsidR="00B552CE">
        <w:t xml:space="preserve"> prison</w:t>
      </w:r>
      <w:r w:rsidR="00EB7E05">
        <w:t>, so his evidence could not go to the reliability of the assurance in the present case, which is solely concerned with that prison</w:t>
      </w:r>
      <w:r w:rsidR="00B552CE">
        <w:t>.</w:t>
      </w:r>
    </w:p>
    <w:p w14:paraId="39032772" w14:textId="39F8EE70" w:rsidR="002C4A7E" w:rsidRPr="00D350AE" w:rsidRDefault="001C6D8B" w:rsidP="00292AC4">
      <w:pPr>
        <w:pStyle w:val="ParaLevel1"/>
        <w:rPr>
          <w:rFonts w:eastAsia="Calibri"/>
        </w:rPr>
      </w:pPr>
      <w:r>
        <w:t>Mr Kolev’s statement</w:t>
      </w:r>
      <w:r w:rsidR="00754E31">
        <w:t xml:space="preserve"> </w:t>
      </w:r>
      <w:r w:rsidR="007D7D6F">
        <w:t xml:space="preserve">was affirmed </w:t>
      </w:r>
      <w:r w:rsidR="00943E09">
        <w:t>the day</w:t>
      </w:r>
      <w:r w:rsidR="00754E31">
        <w:t xml:space="preserve"> before the </w:t>
      </w:r>
      <w:r w:rsidR="00060C28">
        <w:t>second day of the hearing before the judge</w:t>
      </w:r>
      <w:r w:rsidR="00943E09">
        <w:t xml:space="preserve"> (20 January 2021)</w:t>
      </w:r>
      <w:r w:rsidR="007D7D6F">
        <w:t>, although it had been available in unsigned form since the previous June</w:t>
      </w:r>
      <w:r w:rsidR="00943E09">
        <w:t xml:space="preserve">. </w:t>
      </w:r>
      <w:r w:rsidR="007D7D6F">
        <w:t>T</w:t>
      </w:r>
      <w:r w:rsidR="00845FD3">
        <w:t xml:space="preserve">he evidence in the statement is equivocal. </w:t>
      </w:r>
      <w:r w:rsidR="00E15403">
        <w:t>Mr Kolev</w:t>
      </w:r>
      <w:r>
        <w:t xml:space="preserve"> was held in three different prisons, one being </w:t>
      </w:r>
      <w:proofErr w:type="spellStart"/>
      <w:r>
        <w:t>Burgas</w:t>
      </w:r>
      <w:proofErr w:type="spellEnd"/>
      <w:r w:rsidR="004C1665">
        <w:t xml:space="preserve">, </w:t>
      </w:r>
      <w:r w:rsidR="00E15403">
        <w:t xml:space="preserve">and another being its </w:t>
      </w:r>
      <w:r w:rsidR="00BC09F7">
        <w:t xml:space="preserve">dormitory satellite, </w:t>
      </w:r>
      <w:proofErr w:type="spellStart"/>
      <w:r w:rsidR="00AE7D4C">
        <w:t>Zhitarovo</w:t>
      </w:r>
      <w:proofErr w:type="spellEnd"/>
      <w:r w:rsidR="00AE7D4C">
        <w:t xml:space="preserve">, </w:t>
      </w:r>
      <w:r w:rsidR="004C1665">
        <w:t xml:space="preserve">between </w:t>
      </w:r>
      <w:r w:rsidR="009F13E0">
        <w:t xml:space="preserve">May </w:t>
      </w:r>
      <w:r w:rsidR="004C1665">
        <w:t>201</w:t>
      </w:r>
      <w:r w:rsidR="009F13E0">
        <w:t>8</w:t>
      </w:r>
      <w:r w:rsidR="004C1665">
        <w:t xml:space="preserve"> and </w:t>
      </w:r>
      <w:r w:rsidR="009F13E0">
        <w:t xml:space="preserve">May </w:t>
      </w:r>
      <w:r w:rsidR="004C1665">
        <w:t>2019</w:t>
      </w:r>
      <w:r>
        <w:t xml:space="preserve">. He compares the conditions </w:t>
      </w:r>
      <w:r w:rsidR="004C1665">
        <w:t xml:space="preserve">at </w:t>
      </w:r>
      <w:proofErr w:type="spellStart"/>
      <w:r w:rsidR="004C1665">
        <w:t>Burgas</w:t>
      </w:r>
      <w:proofErr w:type="spellEnd"/>
      <w:r>
        <w:t xml:space="preserve"> favourabl</w:t>
      </w:r>
      <w:r w:rsidR="007B1B33">
        <w:t>y</w:t>
      </w:r>
      <w:r>
        <w:t xml:space="preserve"> to the other two</w:t>
      </w:r>
      <w:r w:rsidR="004C1665">
        <w:t xml:space="preserve"> prisons</w:t>
      </w:r>
      <w:r w:rsidR="007B1B33">
        <w:t>,</w:t>
      </w:r>
      <w:r>
        <w:t xml:space="preserve"> although he complain</w:t>
      </w:r>
      <w:r w:rsidR="009F13E0">
        <w:t>s</w:t>
      </w:r>
      <w:r>
        <w:t xml:space="preserve"> about the </w:t>
      </w:r>
      <w:r w:rsidR="008153C1">
        <w:t xml:space="preserve">ex-Army </w:t>
      </w:r>
      <w:r>
        <w:t xml:space="preserve">beds </w:t>
      </w:r>
      <w:r w:rsidR="008F0781">
        <w:t xml:space="preserve">and </w:t>
      </w:r>
      <w:r w:rsidR="008153C1">
        <w:t xml:space="preserve">the proliferation of </w:t>
      </w:r>
      <w:r w:rsidR="008F0781">
        <w:t>bed bugs.</w:t>
      </w:r>
      <w:r w:rsidR="004C1665">
        <w:t xml:space="preserve"> There was an assurance in his case</w:t>
      </w:r>
      <w:r w:rsidR="00E75CFD">
        <w:t xml:space="preserve"> (although he seemed unaware of its details)</w:t>
      </w:r>
      <w:r w:rsidR="00D26827">
        <w:t xml:space="preserve"> which appeared to relate </w:t>
      </w:r>
      <w:r w:rsidR="00594484">
        <w:t>primarily</w:t>
      </w:r>
      <w:r w:rsidR="00D26827">
        <w:t xml:space="preserve"> to s</w:t>
      </w:r>
      <w:r w:rsidR="00A800B7">
        <w:t xml:space="preserve">pace (the </w:t>
      </w:r>
      <w:r w:rsidR="00B630B2">
        <w:t>3</w:t>
      </w:r>
      <w:r w:rsidR="00A800B7">
        <w:t xml:space="preserve"> square metres point)</w:t>
      </w:r>
      <w:r w:rsidR="004C1665">
        <w:t>.</w:t>
      </w:r>
      <w:r w:rsidR="00A800AB">
        <w:t xml:space="preserve"> Perhaps the highpoint of his evidence for present purposes </w:t>
      </w:r>
      <w:r w:rsidR="00120FC8">
        <w:t xml:space="preserve">was what he said about </w:t>
      </w:r>
      <w:proofErr w:type="spellStart"/>
      <w:r w:rsidR="00120FC8">
        <w:t>Zhitarovo</w:t>
      </w:r>
      <w:proofErr w:type="spellEnd"/>
      <w:r w:rsidR="00685DC4">
        <w:t xml:space="preserve">, where he </w:t>
      </w:r>
      <w:r w:rsidR="00E178C4">
        <w:t xml:space="preserve">also </w:t>
      </w:r>
      <w:r w:rsidR="00685DC4">
        <w:t xml:space="preserve">complained about bed bugs, </w:t>
      </w:r>
      <w:r w:rsidR="006C3D51">
        <w:t>and the sanitary facilities. The toilets were separated from the cell</w:t>
      </w:r>
      <w:r w:rsidR="005547E0">
        <w:t xml:space="preserve"> by partitions</w:t>
      </w:r>
      <w:r w:rsidR="006C3D51">
        <w:t xml:space="preserve">, </w:t>
      </w:r>
      <w:r w:rsidR="0041445D">
        <w:t>but they were holes in the floor</w:t>
      </w:r>
      <w:r w:rsidR="005547E0">
        <w:t>,</w:t>
      </w:r>
      <w:r w:rsidR="0041445D">
        <w:t xml:space="preserve"> not proper toilet pans. </w:t>
      </w:r>
      <w:r w:rsidR="005E0735">
        <w:t>They were not individually isolated.</w:t>
      </w:r>
      <w:r w:rsidR="00120FC8">
        <w:t xml:space="preserve"> </w:t>
      </w:r>
    </w:p>
    <w:p w14:paraId="1BF6E851" w14:textId="30040C30" w:rsidR="00A30F28" w:rsidRPr="00A30F28" w:rsidRDefault="00A30F28" w:rsidP="00292AC4">
      <w:pPr>
        <w:pStyle w:val="ParaLevel1"/>
        <w:numPr>
          <w:ilvl w:val="0"/>
          <w:numId w:val="0"/>
        </w:numPr>
        <w:rPr>
          <w:i/>
          <w:iCs/>
        </w:rPr>
      </w:pPr>
      <w:r w:rsidRPr="00A30F28">
        <w:rPr>
          <w:i/>
          <w:iCs/>
        </w:rPr>
        <w:t>The Appellant’s Case on Ground 2</w:t>
      </w:r>
      <w:r w:rsidR="004F0A49">
        <w:rPr>
          <w:i/>
          <w:iCs/>
        </w:rPr>
        <w:t>:</w:t>
      </w:r>
      <w:r w:rsidRPr="00A30F28">
        <w:rPr>
          <w:i/>
          <w:iCs/>
        </w:rPr>
        <w:t xml:space="preserve"> General Observations</w:t>
      </w:r>
    </w:p>
    <w:p w14:paraId="7D74A354" w14:textId="2E4293C5" w:rsidR="002241A1" w:rsidRDefault="002241A1" w:rsidP="00292AC4">
      <w:pPr>
        <w:pStyle w:val="ParaLevel1"/>
      </w:pPr>
      <w:r>
        <w:t xml:space="preserve">There is a suggestion in some of the material provided on behalf of the appellant that, because </w:t>
      </w:r>
      <w:r w:rsidR="00471F86">
        <w:t>there is evidence that</w:t>
      </w:r>
      <w:r>
        <w:t xml:space="preserve"> not every assurance in every case involving Bulgaria has been met, this court should not take the assurances at face value. </w:t>
      </w:r>
      <w:r w:rsidR="000E3026">
        <w:t xml:space="preserve">Although he orally disavowed that intention, the </w:t>
      </w:r>
      <w:r w:rsidR="001D34E7">
        <w:t>undeniable thrust</w:t>
      </w:r>
      <w:r>
        <w:t xml:space="preserve"> of </w:t>
      </w:r>
      <w:r w:rsidR="00547BC4">
        <w:t>Mr Owen’s</w:t>
      </w:r>
      <w:r>
        <w:t xml:space="preserve"> skeleton argument </w:t>
      </w:r>
      <w:r w:rsidR="00547BC4">
        <w:t>was</w:t>
      </w:r>
      <w:r>
        <w:t xml:space="preserve"> that the assurances from </w:t>
      </w:r>
      <w:r w:rsidR="00293EDD">
        <w:t xml:space="preserve">the </w:t>
      </w:r>
      <w:r w:rsidR="00317FE9">
        <w:t>Ministry of Justice</w:t>
      </w:r>
      <w:r w:rsidR="00293EDD">
        <w:t xml:space="preserve"> in </w:t>
      </w:r>
      <w:r>
        <w:t>Bulgaria should not be relied on by this court because they come from Bulgaria.</w:t>
      </w:r>
    </w:p>
    <w:p w14:paraId="4E835D91" w14:textId="08B07CC0" w:rsidR="00A30F28" w:rsidRDefault="002241A1" w:rsidP="00292AC4">
      <w:pPr>
        <w:pStyle w:val="ParaLevel1"/>
      </w:pPr>
      <w:r>
        <w:t>I reject that approach</w:t>
      </w:r>
      <w:r w:rsidR="00471F86">
        <w:t xml:space="preserve"> for t</w:t>
      </w:r>
      <w:r w:rsidR="000A49FB">
        <w:t>hree</w:t>
      </w:r>
      <w:r w:rsidR="00471F86">
        <w:t xml:space="preserve"> reasons</w:t>
      </w:r>
      <w:r>
        <w:t xml:space="preserve">. </w:t>
      </w:r>
      <w:r w:rsidR="00471F86">
        <w:t>First, i</w:t>
      </w:r>
      <w:r>
        <w:t xml:space="preserve">t seems to me to be </w:t>
      </w:r>
      <w:r w:rsidR="00F16277">
        <w:t>contrary to the principle of mutual trust</w:t>
      </w:r>
      <w:r>
        <w:t>. The rule of law requires this court to accept such assurances unless there are strong grounds for concluding that the particular assurance in the particular case will not be met.</w:t>
      </w:r>
    </w:p>
    <w:p w14:paraId="2BE754B7" w14:textId="3A46FFF9" w:rsidR="00BD4546" w:rsidRDefault="00AD59A8" w:rsidP="00292AC4">
      <w:pPr>
        <w:pStyle w:val="ParaLevel1"/>
      </w:pPr>
      <w:r>
        <w:t>Second</w:t>
      </w:r>
      <w:r w:rsidR="002241A1">
        <w:t>ly, t</w:t>
      </w:r>
      <w:r w:rsidR="00BD4546">
        <w:t xml:space="preserve">he court has been </w:t>
      </w:r>
      <w:r w:rsidR="00E075EE">
        <w:t xml:space="preserve">presented with </w:t>
      </w:r>
      <w:r w:rsidR="003778DA">
        <w:t>a good deal of</w:t>
      </w:r>
      <w:r w:rsidR="00956189">
        <w:t xml:space="preserve"> </w:t>
      </w:r>
      <w:r w:rsidR="00E075EE">
        <w:t xml:space="preserve">evidence about </w:t>
      </w:r>
      <w:r w:rsidR="004B3034">
        <w:t>conditions</w:t>
      </w:r>
      <w:r w:rsidR="00E81FEB">
        <w:t xml:space="preserve"> in</w:t>
      </w:r>
      <w:r w:rsidR="00E075EE">
        <w:t xml:space="preserve"> other </w:t>
      </w:r>
      <w:r w:rsidR="00E81FEB">
        <w:t xml:space="preserve">Bulgarian </w:t>
      </w:r>
      <w:r w:rsidR="00E075EE">
        <w:t>prisons</w:t>
      </w:r>
      <w:r w:rsidR="00956189">
        <w:t xml:space="preserve">, not </w:t>
      </w:r>
      <w:proofErr w:type="spellStart"/>
      <w:r w:rsidR="00956189">
        <w:t>Burgas</w:t>
      </w:r>
      <w:proofErr w:type="spellEnd"/>
      <w:r w:rsidR="00C334BE">
        <w:t xml:space="preserve">, and </w:t>
      </w:r>
      <w:r w:rsidR="00C25001">
        <w:t>possible breaches of assurances in other cases</w:t>
      </w:r>
      <w:r w:rsidR="00047E38">
        <w:t>. T</w:t>
      </w:r>
      <w:r w:rsidR="001E7402">
        <w:t xml:space="preserve">hose are then relied on to suggest </w:t>
      </w:r>
      <w:r w:rsidR="00C25001">
        <w:t xml:space="preserve">the likelihood of general </w:t>
      </w:r>
      <w:r w:rsidR="001E7402">
        <w:t xml:space="preserve">breaches of Article 3 </w:t>
      </w:r>
      <w:r w:rsidR="00BF4EB0">
        <w:t xml:space="preserve">and/or </w:t>
      </w:r>
      <w:r w:rsidR="00C25001">
        <w:t xml:space="preserve">general </w:t>
      </w:r>
      <w:r w:rsidR="00BF4EB0">
        <w:t>breaches of assurances</w:t>
      </w:r>
      <w:r w:rsidR="005A2CEE">
        <w:t xml:space="preserve"> by the Bulgarian authorities</w:t>
      </w:r>
      <w:r w:rsidR="00047E38">
        <w:t xml:space="preserve">, </w:t>
      </w:r>
      <w:r w:rsidR="003F0B0B">
        <w:t>leading</w:t>
      </w:r>
      <w:r w:rsidR="00F57EBD">
        <w:t xml:space="preserve"> on</w:t>
      </w:r>
      <w:r w:rsidR="003F0B0B">
        <w:t xml:space="preserve"> to</w:t>
      </w:r>
      <w:r w:rsidR="00047E38">
        <w:t xml:space="preserve"> the conclusion that the </w:t>
      </w:r>
      <w:r w:rsidR="00912497">
        <w:t xml:space="preserve">particular </w:t>
      </w:r>
      <w:r w:rsidR="00047E38">
        <w:t>assurances</w:t>
      </w:r>
      <w:r w:rsidR="004377FC">
        <w:t xml:space="preserve"> </w:t>
      </w:r>
      <w:r w:rsidR="00912497">
        <w:t xml:space="preserve">in this case </w:t>
      </w:r>
      <w:r w:rsidR="00BF4EB0">
        <w:t>must therefore be</w:t>
      </w:r>
      <w:r w:rsidR="004377FC">
        <w:t xml:space="preserve"> unreliable</w:t>
      </w:r>
      <w:r w:rsidR="00E075EE">
        <w:t xml:space="preserve">. </w:t>
      </w:r>
      <w:r w:rsidR="004377FC">
        <w:t xml:space="preserve">Those propositions do not </w:t>
      </w:r>
      <w:r w:rsidR="00F17C6A">
        <w:t>follow</w:t>
      </w:r>
      <w:r w:rsidR="00BF4EB0">
        <w:t xml:space="preserve">. </w:t>
      </w:r>
      <w:r w:rsidR="00E075EE">
        <w:t xml:space="preserve">Each </w:t>
      </w:r>
      <w:r w:rsidR="002D6B6D">
        <w:t xml:space="preserve">assurance </w:t>
      </w:r>
      <w:r w:rsidR="00E075EE">
        <w:t xml:space="preserve">must be </w:t>
      </w:r>
      <w:r w:rsidR="002D6B6D">
        <w:t>considered</w:t>
      </w:r>
      <w:r w:rsidR="00E075EE">
        <w:t xml:space="preserve"> on its own facts</w:t>
      </w:r>
      <w:r w:rsidR="002241A1">
        <w:t>. The question is: Do the assurance</w:t>
      </w:r>
      <w:r w:rsidR="005D30B4">
        <w:t>s in this case</w:t>
      </w:r>
      <w:r w:rsidR="002241A1">
        <w:t xml:space="preserve"> meet </w:t>
      </w:r>
      <w:r w:rsidR="004F0A49">
        <w:t xml:space="preserve">what </w:t>
      </w:r>
      <w:r w:rsidR="00293EDD">
        <w:t>would</w:t>
      </w:r>
      <w:r w:rsidR="004F0A49">
        <w:t xml:space="preserve"> otherwise </w:t>
      </w:r>
      <w:r w:rsidR="00293EDD">
        <w:t xml:space="preserve">be </w:t>
      </w:r>
      <w:r w:rsidR="005A2CEE">
        <w:t>a</w:t>
      </w:r>
      <w:r w:rsidR="002241A1">
        <w:t xml:space="preserve"> real risk of a breach of Article 3?</w:t>
      </w:r>
      <w:r w:rsidR="00E075EE">
        <w:t xml:space="preserve"> </w:t>
      </w:r>
    </w:p>
    <w:p w14:paraId="09EB9152" w14:textId="50D6CB33" w:rsidR="002D6B6D" w:rsidRDefault="00AF2B80" w:rsidP="00292AC4">
      <w:pPr>
        <w:pStyle w:val="ParaLevel1"/>
      </w:pPr>
      <w:r>
        <w:t xml:space="preserve">Thirdly, and most importantly for present purposes, I have concluded that this argument is not open to Mr Owen in any event, because of the detailed ruling by this court in </w:t>
      </w:r>
      <w:proofErr w:type="spellStart"/>
      <w:r>
        <w:rPr>
          <w:i/>
          <w:iCs/>
        </w:rPr>
        <w:t>Chech</w:t>
      </w:r>
      <w:r w:rsidR="006F1DD5">
        <w:rPr>
          <w:i/>
          <w:iCs/>
        </w:rPr>
        <w:t>e</w:t>
      </w:r>
      <w:r>
        <w:rPr>
          <w:i/>
          <w:iCs/>
        </w:rPr>
        <w:t>v</w:t>
      </w:r>
      <w:proofErr w:type="spellEnd"/>
      <w:r>
        <w:rPr>
          <w:i/>
          <w:iCs/>
        </w:rPr>
        <w:t xml:space="preserve"> </w:t>
      </w:r>
      <w:r w:rsidR="00480882">
        <w:rPr>
          <w:i/>
          <w:iCs/>
        </w:rPr>
        <w:t>2</w:t>
      </w:r>
      <w:r>
        <w:rPr>
          <w:i/>
          <w:iCs/>
        </w:rPr>
        <w:t xml:space="preserve"> </w:t>
      </w:r>
      <w:r>
        <w:t>(see paragraph 4</w:t>
      </w:r>
      <w:r w:rsidR="00C54C9C">
        <w:t>9</w:t>
      </w:r>
      <w:r>
        <w:t xml:space="preserve"> above).</w:t>
      </w:r>
      <w:r w:rsidR="00EC4C40">
        <w:t xml:space="preserve"> Th</w:t>
      </w:r>
      <w:r w:rsidR="00FE206D">
        <w:t xml:space="preserve">e submission as to </w:t>
      </w:r>
      <w:r w:rsidR="005A2CEE">
        <w:t xml:space="preserve">the </w:t>
      </w:r>
      <w:r w:rsidR="003F2143">
        <w:t xml:space="preserve">general </w:t>
      </w:r>
      <w:r w:rsidR="00FE206D">
        <w:t>unreliability</w:t>
      </w:r>
      <w:r w:rsidR="00EC4C40">
        <w:t xml:space="preserve"> </w:t>
      </w:r>
      <w:r w:rsidR="005A2CEE">
        <w:t xml:space="preserve">of Bulgarian assurances </w:t>
      </w:r>
      <w:r w:rsidR="00EC4C40">
        <w:t xml:space="preserve">was </w:t>
      </w:r>
      <w:r w:rsidR="00FE206D">
        <w:t xml:space="preserve">carefully </w:t>
      </w:r>
      <w:r w:rsidR="00EC4C40">
        <w:t xml:space="preserve">considered and rejected by Singh LJ. </w:t>
      </w:r>
      <w:r w:rsidR="000668E0">
        <w:t xml:space="preserve">The submission that every </w:t>
      </w:r>
      <w:r w:rsidR="00497575">
        <w:t>assurance should be treated as unreliable</w:t>
      </w:r>
      <w:r w:rsidR="00EC4C40">
        <w:t xml:space="preserve"> cannot now be resurrected every time there is a fresh assurance from the Bulgarian authorities. </w:t>
      </w:r>
      <w:r w:rsidR="00497575">
        <w:t xml:space="preserve">It must always depend on the </w:t>
      </w:r>
      <w:r w:rsidR="00FE382D">
        <w:t>particular facts</w:t>
      </w:r>
      <w:r w:rsidR="009E4B7D">
        <w:t xml:space="preserve"> of the case</w:t>
      </w:r>
      <w:r w:rsidR="00EC4C40">
        <w:t>.</w:t>
      </w:r>
    </w:p>
    <w:p w14:paraId="6A551C2C" w14:textId="14473DF2" w:rsidR="007E3A0F" w:rsidRDefault="007E3A0F" w:rsidP="00292AC4">
      <w:pPr>
        <w:pStyle w:val="ParaLevel1"/>
      </w:pPr>
      <w:r>
        <w:t xml:space="preserve">That </w:t>
      </w:r>
      <w:r w:rsidR="009E4B7D">
        <w:t xml:space="preserve">therefore </w:t>
      </w:r>
      <w:r>
        <w:t xml:space="preserve">leaves the particular grounds of complaint raised by the appellant. The first two go to the </w:t>
      </w:r>
      <w:r w:rsidR="00A148D0">
        <w:t xml:space="preserve">judge’s </w:t>
      </w:r>
      <w:r>
        <w:t>judgment; the third relates to the assurance</w:t>
      </w:r>
      <w:r w:rsidR="00C36369">
        <w:t xml:space="preserve"> of 22 March 2022.</w:t>
      </w:r>
    </w:p>
    <w:p w14:paraId="7A31964F" w14:textId="464BE648" w:rsidR="004D5CC4" w:rsidRPr="00866201" w:rsidRDefault="004F0A49" w:rsidP="00292AC4">
      <w:pPr>
        <w:pStyle w:val="ParaLevel1"/>
        <w:numPr>
          <w:ilvl w:val="0"/>
          <w:numId w:val="0"/>
        </w:numPr>
        <w:rPr>
          <w:i/>
          <w:iCs/>
        </w:rPr>
      </w:pPr>
      <w:r w:rsidRPr="004F0A49">
        <w:rPr>
          <w:i/>
          <w:iCs/>
        </w:rPr>
        <w:lastRenderedPageBreak/>
        <w:t>The Appellant’s Case on Ground 2: Individual Grounds</w:t>
      </w:r>
    </w:p>
    <w:p w14:paraId="671BADF4" w14:textId="3680B9A8" w:rsidR="004F0A49" w:rsidRDefault="004D5CC4" w:rsidP="00292AC4">
      <w:pPr>
        <w:pStyle w:val="ParaLevel1"/>
      </w:pPr>
      <w:r>
        <w:t>T</w:t>
      </w:r>
      <w:r w:rsidR="008F0781">
        <w:t xml:space="preserve">he first complaint is that the judge wrongly concluded </w:t>
      </w:r>
      <w:r w:rsidR="00496569">
        <w:t xml:space="preserve">that the decision of this court in </w:t>
      </w:r>
      <w:proofErr w:type="spellStart"/>
      <w:r w:rsidR="00496569" w:rsidRPr="00ED65E0">
        <w:rPr>
          <w:i/>
          <w:iCs/>
        </w:rPr>
        <w:t>Chechev</w:t>
      </w:r>
      <w:proofErr w:type="spellEnd"/>
      <w:r w:rsidR="00496569" w:rsidRPr="00ED65E0">
        <w:rPr>
          <w:i/>
          <w:iCs/>
        </w:rPr>
        <w:t xml:space="preserve"> </w:t>
      </w:r>
      <w:r w:rsidR="00866201">
        <w:rPr>
          <w:i/>
          <w:iCs/>
        </w:rPr>
        <w:t>2</w:t>
      </w:r>
      <w:r w:rsidR="00ED65E0">
        <w:rPr>
          <w:i/>
          <w:iCs/>
        </w:rPr>
        <w:t xml:space="preserve"> </w:t>
      </w:r>
      <w:r w:rsidR="00ED65E0">
        <w:t xml:space="preserve">was authority for the proposition that Bulgarian assurances could be relied upon. </w:t>
      </w:r>
      <w:r w:rsidR="002D5B3F">
        <w:t>The complaint is that, because the assurance</w:t>
      </w:r>
      <w:r w:rsidR="00EF1239">
        <w:t xml:space="preserve"> was</w:t>
      </w:r>
      <w:r w:rsidR="002D5B3F">
        <w:t xml:space="preserve"> not accepted in the case of Mr </w:t>
      </w:r>
      <w:proofErr w:type="spellStart"/>
      <w:r w:rsidR="002D5B3F">
        <w:t>Vang</w:t>
      </w:r>
      <w:r w:rsidR="00C73922">
        <w:t>e</w:t>
      </w:r>
      <w:r w:rsidR="002D5B3F">
        <w:t>lov</w:t>
      </w:r>
      <w:proofErr w:type="spellEnd"/>
      <w:r w:rsidR="002D5B3F">
        <w:t xml:space="preserve">, that was a misreading of </w:t>
      </w:r>
      <w:r w:rsidR="000648D2">
        <w:t>th</w:t>
      </w:r>
      <w:r w:rsidR="00EF1239">
        <w:t>is court’s</w:t>
      </w:r>
      <w:r w:rsidR="000648D2">
        <w:t xml:space="preserve"> decision. </w:t>
      </w:r>
    </w:p>
    <w:p w14:paraId="5BE67160" w14:textId="7BF44F25" w:rsidR="00371CA7" w:rsidRDefault="000648D2" w:rsidP="00292AC4">
      <w:pPr>
        <w:pStyle w:val="ParaLevel1"/>
      </w:pPr>
      <w:r>
        <w:t xml:space="preserve">In my view this complaint </w:t>
      </w:r>
      <w:r w:rsidR="00EF1239">
        <w:t xml:space="preserve">impermissibly </w:t>
      </w:r>
      <w:r w:rsidR="000339F0">
        <w:t>elides</w:t>
      </w:r>
      <w:r>
        <w:t xml:space="preserve"> two different </w:t>
      </w:r>
      <w:r w:rsidR="00462DFB">
        <w:t>points</w:t>
      </w:r>
      <w:r>
        <w:t xml:space="preserve">. In </w:t>
      </w:r>
      <w:proofErr w:type="spellStart"/>
      <w:r>
        <w:rPr>
          <w:i/>
          <w:iCs/>
        </w:rPr>
        <w:t>Chechev</w:t>
      </w:r>
      <w:proofErr w:type="spellEnd"/>
      <w:r w:rsidR="009E5096">
        <w:rPr>
          <w:i/>
          <w:iCs/>
        </w:rPr>
        <w:t xml:space="preserve"> </w:t>
      </w:r>
      <w:r w:rsidR="00866201">
        <w:rPr>
          <w:i/>
          <w:iCs/>
        </w:rPr>
        <w:t>2</w:t>
      </w:r>
      <w:r w:rsidR="009E5096">
        <w:t xml:space="preserve">, Singh LJ set out the appellant’s submissions as to the </w:t>
      </w:r>
      <w:r w:rsidR="00357AC7">
        <w:t>inhere</w:t>
      </w:r>
      <w:r w:rsidR="00D904CE">
        <w:t>n</w:t>
      </w:r>
      <w:r w:rsidR="00357AC7">
        <w:t xml:space="preserve">t </w:t>
      </w:r>
      <w:r w:rsidR="00EF1239">
        <w:t>un</w:t>
      </w:r>
      <w:r w:rsidR="009E5096">
        <w:t>reliability of Bulgarian assurances</w:t>
      </w:r>
      <w:r w:rsidR="007C1CB7">
        <w:t>. H</w:t>
      </w:r>
      <w:r w:rsidR="00C1200A">
        <w:t xml:space="preserve">e </w:t>
      </w:r>
      <w:r w:rsidR="00EF1239">
        <w:t>rejected them</w:t>
      </w:r>
      <w:r w:rsidR="00A44A2F">
        <w:t xml:space="preserve">. The judge was therefore </w:t>
      </w:r>
      <w:r w:rsidR="00652CBF">
        <w:t xml:space="preserve">entitled to say that the present position </w:t>
      </w:r>
      <w:r w:rsidR="00600083">
        <w:t xml:space="preserve">in law is that assurances from the Bulgarian authorities </w:t>
      </w:r>
      <w:r w:rsidR="00AC024A">
        <w:t>can</w:t>
      </w:r>
      <w:r w:rsidR="00600083">
        <w:t xml:space="preserve"> be regarded as reliable, unless </w:t>
      </w:r>
      <w:r w:rsidR="00357AC7">
        <w:t>an appellant can produce a cogent case to the contrary</w:t>
      </w:r>
      <w:r w:rsidR="00A44A2F">
        <w:t>.</w:t>
      </w:r>
    </w:p>
    <w:p w14:paraId="071A60CE" w14:textId="5F0477E8" w:rsidR="00371CA7" w:rsidRDefault="00A44A2F" w:rsidP="00292AC4">
      <w:pPr>
        <w:pStyle w:val="ParaLevel1"/>
      </w:pPr>
      <w:r>
        <w:t xml:space="preserve">That leaves the result in </w:t>
      </w:r>
      <w:r w:rsidR="005A5D5D">
        <w:t xml:space="preserve">the </w:t>
      </w:r>
      <w:proofErr w:type="spellStart"/>
      <w:r w:rsidR="00833B9A" w:rsidRPr="00833B9A">
        <w:rPr>
          <w:i/>
          <w:iCs/>
        </w:rPr>
        <w:t>Vang</w:t>
      </w:r>
      <w:r w:rsidR="00C73922">
        <w:rPr>
          <w:i/>
          <w:iCs/>
        </w:rPr>
        <w:t>e</w:t>
      </w:r>
      <w:r w:rsidR="00833B9A" w:rsidRPr="00833B9A">
        <w:rPr>
          <w:i/>
          <w:iCs/>
        </w:rPr>
        <w:t>lov</w:t>
      </w:r>
      <w:proofErr w:type="spellEnd"/>
      <w:r w:rsidR="00833B9A">
        <w:t xml:space="preserve"> </w:t>
      </w:r>
      <w:r w:rsidR="00342567">
        <w:t xml:space="preserve">part of that </w:t>
      </w:r>
      <w:r w:rsidR="005A5D5D">
        <w:t>appeal. That was, as I have said,</w:t>
      </w:r>
      <w:r w:rsidR="006D70D2">
        <w:t xml:space="preserve"> the</w:t>
      </w:r>
      <w:r w:rsidR="005A5D5D">
        <w:t xml:space="preserve"> result of specific findings in relation to a specific prison. </w:t>
      </w:r>
      <w:r w:rsidR="006D70D2">
        <w:t>It was</w:t>
      </w:r>
      <w:r w:rsidR="00DE125B">
        <w:t xml:space="preserve"> a finding in respect of th</w:t>
      </w:r>
      <w:r w:rsidR="006D70D2">
        <w:t>e inadequacy of a</w:t>
      </w:r>
      <w:r w:rsidR="00DE125B">
        <w:t xml:space="preserve"> particular assurance</w:t>
      </w:r>
      <w:r w:rsidR="006D70D2">
        <w:t xml:space="preserve"> (primarily relating to space)</w:t>
      </w:r>
      <w:r w:rsidR="00DE125B">
        <w:t>: it was not a finding as t</w:t>
      </w:r>
      <w:r w:rsidR="00EF2D0C">
        <w:t xml:space="preserve">o </w:t>
      </w:r>
      <w:r w:rsidR="00DE125B">
        <w:t>the reliability of Bulgarian assurances generally.</w:t>
      </w:r>
      <w:r w:rsidR="00683DA0">
        <w:t xml:space="preserve"> For those reasons, I consider </w:t>
      </w:r>
      <w:r w:rsidR="00202320">
        <w:t xml:space="preserve">that </w:t>
      </w:r>
      <w:r w:rsidR="00683DA0">
        <w:t xml:space="preserve">this </w:t>
      </w:r>
      <w:r w:rsidR="006104C5">
        <w:t xml:space="preserve">first </w:t>
      </w:r>
      <w:r w:rsidR="00683DA0">
        <w:t>criticism of the judge to be misplaced.</w:t>
      </w:r>
    </w:p>
    <w:p w14:paraId="4D6B39CB" w14:textId="4233EF6A" w:rsidR="004C0628" w:rsidRDefault="00EF2D0C" w:rsidP="00292AC4">
      <w:pPr>
        <w:pStyle w:val="ParaLevel1"/>
      </w:pPr>
      <w:r>
        <w:t>The second criticism is that the judge failed to make any findings of fact on the evidence before him. As developed in the skeleton argument</w:t>
      </w:r>
      <w:r w:rsidR="00026DC8">
        <w:t xml:space="preserve"> between paragraphs 86 and 95, </w:t>
      </w:r>
      <w:r w:rsidR="00462DFB">
        <w:t>this</w:t>
      </w:r>
      <w:r w:rsidR="00026DC8">
        <w:t xml:space="preserve"> appears to be </w:t>
      </w:r>
      <w:r w:rsidR="001E3BB7">
        <w:t>a</w:t>
      </w:r>
      <w:r w:rsidR="00026DC8">
        <w:t xml:space="preserve"> suggestion that the judge should have made findings of fact in relation to the case</w:t>
      </w:r>
      <w:r w:rsidR="00202320">
        <w:t>s</w:t>
      </w:r>
      <w:r w:rsidR="00026DC8">
        <w:t xml:space="preserve"> of Mr </w:t>
      </w:r>
      <w:proofErr w:type="spellStart"/>
      <w:r w:rsidR="003B146B">
        <w:t>Zdravkov</w:t>
      </w:r>
      <w:proofErr w:type="spellEnd"/>
      <w:r w:rsidR="003B146B">
        <w:t xml:space="preserve"> and </w:t>
      </w:r>
      <w:r w:rsidR="00F577DB">
        <w:t xml:space="preserve">Mr </w:t>
      </w:r>
      <w:r w:rsidR="003B146B">
        <w:t>Kolev.</w:t>
      </w:r>
    </w:p>
    <w:p w14:paraId="3C2B517B" w14:textId="021C31BC" w:rsidR="00115C46" w:rsidRDefault="003B146B" w:rsidP="00292AC4">
      <w:pPr>
        <w:pStyle w:val="ParaLevel1"/>
      </w:pPr>
      <w:r>
        <w:t xml:space="preserve">I reject that submission. </w:t>
      </w:r>
      <w:r w:rsidR="006104C5">
        <w:t>A</w:t>
      </w:r>
      <w:r>
        <w:t xml:space="preserve"> judge dealing with </w:t>
      </w:r>
      <w:r w:rsidR="00422C98">
        <w:t xml:space="preserve">the case of </w:t>
      </w:r>
      <w:proofErr w:type="spellStart"/>
      <w:r w:rsidR="00422C98">
        <w:t>extraditee</w:t>
      </w:r>
      <w:proofErr w:type="spellEnd"/>
      <w:r w:rsidR="00422C98">
        <w:t xml:space="preserve"> X </w:t>
      </w:r>
      <w:r w:rsidR="006104C5">
        <w:t xml:space="preserve">is not required </w:t>
      </w:r>
      <w:r w:rsidR="00422C98">
        <w:t xml:space="preserve">to make findings of fact in relation to </w:t>
      </w:r>
      <w:r w:rsidR="00F577DB">
        <w:t xml:space="preserve">the </w:t>
      </w:r>
      <w:r w:rsidR="00BB13C8">
        <w:t>unrela</w:t>
      </w:r>
      <w:r w:rsidR="00A7228B">
        <w:t>t</w:t>
      </w:r>
      <w:r w:rsidR="00BB13C8">
        <w:t>ed and historic</w:t>
      </w:r>
      <w:r w:rsidR="00F577DB">
        <w:t xml:space="preserve"> cases of Y and Z</w:t>
      </w:r>
      <w:r w:rsidR="00A7228B">
        <w:t>,</w:t>
      </w:r>
      <w:r w:rsidR="00422C98">
        <w:t xml:space="preserve"> wh</w:t>
      </w:r>
      <w:r w:rsidR="006104C5">
        <w:t>ich</w:t>
      </w:r>
      <w:r w:rsidR="00422C98">
        <w:t xml:space="preserve"> have </w:t>
      </w:r>
      <w:r w:rsidR="00A7228B">
        <w:t xml:space="preserve">at best </w:t>
      </w:r>
      <w:r w:rsidR="0083493E">
        <w:t xml:space="preserve">only a tangential </w:t>
      </w:r>
      <w:r w:rsidR="00A46987">
        <w:t>bearing on</w:t>
      </w:r>
      <w:r w:rsidR="00422C98">
        <w:t xml:space="preserve"> the case before him. </w:t>
      </w:r>
      <w:r w:rsidR="002D1CD2">
        <w:t>Such a requirement</w:t>
      </w:r>
      <w:r w:rsidR="00BF420C">
        <w:t xml:space="preserve"> is neither proportionate nor in accordance with the overriding objective.</w:t>
      </w:r>
      <w:r w:rsidR="0008101B">
        <w:t xml:space="preserve"> </w:t>
      </w:r>
      <w:proofErr w:type="spellStart"/>
      <w:r w:rsidR="0008101B" w:rsidRPr="004170EF">
        <w:rPr>
          <w:i/>
          <w:iCs/>
        </w:rPr>
        <w:t>Georgiev</w:t>
      </w:r>
      <w:proofErr w:type="spellEnd"/>
      <w:r w:rsidR="0008101B">
        <w:t xml:space="preserve"> should not be regarded as </w:t>
      </w:r>
      <w:r w:rsidR="00333A98">
        <w:t xml:space="preserve">laying down any </w:t>
      </w:r>
      <w:r w:rsidR="00D34936">
        <w:t xml:space="preserve">rule </w:t>
      </w:r>
      <w:r w:rsidR="00F47F08">
        <w:t>to the contrary.</w:t>
      </w:r>
      <w:r w:rsidR="00C95977">
        <w:t xml:space="preserve"> It </w:t>
      </w:r>
      <w:r w:rsidR="00C21D89">
        <w:t>will depend on the issues in the individual case.</w:t>
      </w:r>
    </w:p>
    <w:p w14:paraId="08502797" w14:textId="35B487EC" w:rsidR="001251BF" w:rsidRDefault="00C21D89" w:rsidP="00292AC4">
      <w:pPr>
        <w:pStyle w:val="ParaLevel1"/>
      </w:pPr>
      <w:r>
        <w:t>Here, t</w:t>
      </w:r>
      <w:r w:rsidR="001B1160">
        <w:t>here are also significant practical difficulties</w:t>
      </w:r>
      <w:r w:rsidR="00342567">
        <w:t xml:space="preserve"> with such a suggestion</w:t>
      </w:r>
      <w:r w:rsidR="001B1160">
        <w:t xml:space="preserve">. </w:t>
      </w:r>
      <w:r w:rsidR="00940C45">
        <w:t xml:space="preserve">Take the evidence about </w:t>
      </w:r>
      <w:r w:rsidR="00227E68">
        <w:t xml:space="preserve">Mr </w:t>
      </w:r>
      <w:proofErr w:type="spellStart"/>
      <w:r w:rsidR="00940C45">
        <w:t>Zdravkov</w:t>
      </w:r>
      <w:proofErr w:type="spellEnd"/>
      <w:r w:rsidR="00940C45">
        <w:t xml:space="preserve">. Paragraphs 9-18 of Appendix 2 </w:t>
      </w:r>
      <w:r w:rsidR="007A7CA6">
        <w:t xml:space="preserve">to the appellant’s skeleton argument sets out a raft of factual material said to support </w:t>
      </w:r>
      <w:r w:rsidR="00954FCD">
        <w:t xml:space="preserve">the allegation that the assurance in his case was not met. The nine sub-paragraphs </w:t>
      </w:r>
      <w:r w:rsidR="00F35B49">
        <w:t xml:space="preserve">of paragraph 88 of the respondent’s </w:t>
      </w:r>
      <w:r w:rsidR="001F4138">
        <w:t xml:space="preserve">skeleton </w:t>
      </w:r>
      <w:r w:rsidR="0064754B">
        <w:t xml:space="preserve">argument </w:t>
      </w:r>
      <w:r w:rsidR="001F4138">
        <w:t xml:space="preserve">in </w:t>
      </w:r>
      <w:r w:rsidR="00F35B49">
        <w:t>response puts in issue a wide variety of those matters</w:t>
      </w:r>
      <w:r w:rsidR="007F7422">
        <w:t xml:space="preserve">. </w:t>
      </w:r>
      <w:r w:rsidR="00DD0870">
        <w:t xml:space="preserve">The same difficulties arise in relation to Mr Kolev’s statement. Paragraphs 1-9 of Appendix 2 of the </w:t>
      </w:r>
      <w:r w:rsidR="0064754B">
        <w:t xml:space="preserve">appellant’s </w:t>
      </w:r>
      <w:r w:rsidR="005722D7">
        <w:t xml:space="preserve">skeleton </w:t>
      </w:r>
      <w:r w:rsidR="0064754B">
        <w:t>argument</w:t>
      </w:r>
      <w:r w:rsidR="005722D7">
        <w:t xml:space="preserve"> set out various factual matters said to sho</w:t>
      </w:r>
      <w:r w:rsidR="0049384E">
        <w:t>w</w:t>
      </w:r>
      <w:r w:rsidR="005722D7">
        <w:t xml:space="preserve"> that the assurance in his case was not honoured. Again</w:t>
      </w:r>
      <w:r w:rsidR="00DA43DD">
        <w:t>,</w:t>
      </w:r>
      <w:r w:rsidR="005722D7">
        <w:t xml:space="preserve"> many of those are put in issue </w:t>
      </w:r>
      <w:r w:rsidR="006903D0">
        <w:t>at paragraphs 89-92 of the respondent’s skeleton argument</w:t>
      </w:r>
      <w:r w:rsidR="0064754B">
        <w:t xml:space="preserve"> in response</w:t>
      </w:r>
      <w:r w:rsidR="006903D0">
        <w:t>.</w:t>
      </w:r>
      <w:r w:rsidR="00DA43DD">
        <w:t xml:space="preserve"> Further material was put in to address some of Mr Kolev’s complaints on the morning of the appeal.</w:t>
      </w:r>
    </w:p>
    <w:p w14:paraId="19412E7F" w14:textId="1B92F9E5" w:rsidR="00EB5C81" w:rsidRDefault="00E32274" w:rsidP="00292AC4">
      <w:pPr>
        <w:pStyle w:val="ParaLevel1"/>
      </w:pPr>
      <w:r>
        <w:t xml:space="preserve">It would </w:t>
      </w:r>
      <w:r w:rsidR="006E0E25">
        <w:t>have been</w:t>
      </w:r>
      <w:r>
        <w:t xml:space="preserve"> impossible for the judge to have undertaken a </w:t>
      </w:r>
      <w:r w:rsidR="00A13BBB">
        <w:t xml:space="preserve">meaningful or </w:t>
      </w:r>
      <w:r>
        <w:t xml:space="preserve">detailed fact-finding exercise </w:t>
      </w:r>
      <w:r w:rsidR="006E0E25">
        <w:t>in relation to these matters. He did not have sufficient information,</w:t>
      </w:r>
      <w:r w:rsidR="00E21307">
        <w:t xml:space="preserve"> or sufficient time, </w:t>
      </w:r>
      <w:r w:rsidR="00A5623D">
        <w:t xml:space="preserve">to chase down all the loose ends, </w:t>
      </w:r>
      <w:r w:rsidR="003C1C96">
        <w:t>and he did not have</w:t>
      </w:r>
      <w:r w:rsidR="00E21307">
        <w:t xml:space="preserve"> </w:t>
      </w:r>
      <w:r w:rsidR="00ED0E67">
        <w:t>any need to do so. A</w:t>
      </w:r>
      <w:r w:rsidR="00723E80">
        <w:t>ny findings</w:t>
      </w:r>
      <w:r w:rsidR="00ED0E67">
        <w:t xml:space="preserve"> he had been tempted to make</w:t>
      </w:r>
      <w:r w:rsidR="00723E80">
        <w:t xml:space="preserve"> </w:t>
      </w:r>
      <w:r w:rsidR="00971095">
        <w:t>– even if th</w:t>
      </w:r>
      <w:r w:rsidR="001B1160">
        <w:t>e</w:t>
      </w:r>
      <w:r w:rsidR="00971095">
        <w:t xml:space="preserve">y had been practical or possible - </w:t>
      </w:r>
      <w:r w:rsidR="00723E80">
        <w:t xml:space="preserve">would have been </w:t>
      </w:r>
      <w:r w:rsidR="00ED552E">
        <w:t>immaterial</w:t>
      </w:r>
      <w:r w:rsidR="00F577DB">
        <w:t xml:space="preserve"> to the appellant’s case</w:t>
      </w:r>
      <w:r w:rsidR="0069687F">
        <w:t xml:space="preserve">. </w:t>
      </w:r>
    </w:p>
    <w:p w14:paraId="7FC7F63D" w14:textId="66E66682" w:rsidR="00A12290" w:rsidRDefault="0069687F" w:rsidP="00292AC4">
      <w:pPr>
        <w:pStyle w:val="ParaLevel1"/>
      </w:pPr>
      <w:r>
        <w:t xml:space="preserve">In the case of Mr </w:t>
      </w:r>
      <w:proofErr w:type="spellStart"/>
      <w:r>
        <w:t>Zdravkov</w:t>
      </w:r>
      <w:proofErr w:type="spellEnd"/>
      <w:r>
        <w:t xml:space="preserve">, since he </w:t>
      </w:r>
      <w:r w:rsidR="00F577DB">
        <w:t xml:space="preserve">was </w:t>
      </w:r>
      <w:r>
        <w:t xml:space="preserve">never detained at </w:t>
      </w:r>
      <w:proofErr w:type="spellStart"/>
      <w:r>
        <w:t>Burgas</w:t>
      </w:r>
      <w:proofErr w:type="spellEnd"/>
      <w:r>
        <w:t xml:space="preserve"> prison, </w:t>
      </w:r>
      <w:r w:rsidR="00536151">
        <w:t xml:space="preserve">the </w:t>
      </w:r>
      <w:r w:rsidR="00045121">
        <w:t>finding at its highest would have been</w:t>
      </w:r>
      <w:r w:rsidR="00536151">
        <w:t xml:space="preserve"> </w:t>
      </w:r>
      <w:r w:rsidR="00F577DB">
        <w:t xml:space="preserve">that </w:t>
      </w:r>
      <w:r w:rsidR="00536151">
        <w:t>assurance</w:t>
      </w:r>
      <w:r w:rsidR="00B96916">
        <w:t>s</w:t>
      </w:r>
      <w:r w:rsidR="00536151">
        <w:t xml:space="preserve"> in </w:t>
      </w:r>
      <w:r w:rsidR="00A9082E">
        <w:t>his</w:t>
      </w:r>
      <w:r w:rsidR="00536151">
        <w:t xml:space="preserve"> individual case </w:t>
      </w:r>
      <w:r w:rsidR="00966B5E">
        <w:t>may h</w:t>
      </w:r>
      <w:r w:rsidR="00045121">
        <w:t>ave been</w:t>
      </w:r>
      <w:r w:rsidR="00536151">
        <w:t xml:space="preserve"> </w:t>
      </w:r>
      <w:r w:rsidR="00536151">
        <w:lastRenderedPageBreak/>
        <w:t>breached</w:t>
      </w:r>
      <w:r w:rsidR="00141B6B">
        <w:t xml:space="preserve"> in </w:t>
      </w:r>
      <w:r w:rsidR="008C4AF9">
        <w:t>2017</w:t>
      </w:r>
      <w:r w:rsidR="00536151">
        <w:t xml:space="preserve">. The judge could not go further </w:t>
      </w:r>
      <w:r w:rsidR="009D45E4">
        <w:t xml:space="preserve">and say that </w:t>
      </w:r>
      <w:r w:rsidR="00F577DB">
        <w:t xml:space="preserve">this breach meant </w:t>
      </w:r>
      <w:r w:rsidR="009D45E4">
        <w:t xml:space="preserve">that the </w:t>
      </w:r>
      <w:r w:rsidR="00F577DB">
        <w:t xml:space="preserve">(different) </w:t>
      </w:r>
      <w:r w:rsidR="009D45E4">
        <w:t xml:space="preserve">assurances </w:t>
      </w:r>
      <w:r w:rsidR="00F577DB">
        <w:t>about the (different) prison in this case</w:t>
      </w:r>
      <w:r w:rsidR="009D45E4">
        <w:t xml:space="preserve"> w</w:t>
      </w:r>
      <w:r w:rsidR="00F577DB">
        <w:t>ere</w:t>
      </w:r>
      <w:r w:rsidR="009D45E4">
        <w:t xml:space="preserve"> unreliable: that was the</w:t>
      </w:r>
      <w:r w:rsidR="003E575D">
        <w:t xml:space="preserve"> </w:t>
      </w:r>
      <w:r w:rsidR="009D45E4">
        <w:t xml:space="preserve">very argument rejected by Singh LJ </w:t>
      </w:r>
      <w:r w:rsidR="00F577DB">
        <w:t xml:space="preserve">in </w:t>
      </w:r>
      <w:proofErr w:type="spellStart"/>
      <w:r w:rsidR="00F577DB" w:rsidRPr="00EB5C81">
        <w:rPr>
          <w:i/>
          <w:iCs/>
        </w:rPr>
        <w:t>Chech</w:t>
      </w:r>
      <w:r w:rsidR="006F1DD5" w:rsidRPr="00EB5C81">
        <w:rPr>
          <w:i/>
          <w:iCs/>
        </w:rPr>
        <w:t>e</w:t>
      </w:r>
      <w:r w:rsidR="00F577DB" w:rsidRPr="00EB5C81">
        <w:rPr>
          <w:i/>
          <w:iCs/>
        </w:rPr>
        <w:t>v</w:t>
      </w:r>
      <w:proofErr w:type="spellEnd"/>
      <w:r w:rsidR="00F577DB" w:rsidRPr="00EB5C81">
        <w:rPr>
          <w:i/>
          <w:iCs/>
        </w:rPr>
        <w:t xml:space="preserve"> </w:t>
      </w:r>
      <w:r w:rsidR="00490D98">
        <w:rPr>
          <w:i/>
          <w:iCs/>
        </w:rPr>
        <w:t>2</w:t>
      </w:r>
      <w:r w:rsidR="009D45E4">
        <w:t xml:space="preserve">. </w:t>
      </w:r>
    </w:p>
    <w:p w14:paraId="54E8923A" w14:textId="638FFCD5" w:rsidR="0060146B" w:rsidRDefault="00F577DB" w:rsidP="00292AC4">
      <w:pPr>
        <w:pStyle w:val="ParaLevel1"/>
      </w:pPr>
      <w:r>
        <w:t>In the case of Mr</w:t>
      </w:r>
      <w:r w:rsidR="009D45E4">
        <w:t xml:space="preserve"> Kolev, </w:t>
      </w:r>
      <w:r w:rsidR="00D64ED9">
        <w:t>his</w:t>
      </w:r>
      <w:r w:rsidR="00D52729">
        <w:t xml:space="preserve"> </w:t>
      </w:r>
      <w:r w:rsidR="007C5108">
        <w:t xml:space="preserve">evidence is </w:t>
      </w:r>
      <w:r w:rsidR="00E06421">
        <w:t xml:space="preserve">very </w:t>
      </w:r>
      <w:r w:rsidR="007C5108">
        <w:t>limited</w:t>
      </w:r>
      <w:r w:rsidR="00E06421">
        <w:t xml:space="preserve">, paints </w:t>
      </w:r>
      <w:proofErr w:type="spellStart"/>
      <w:r w:rsidR="00E06421">
        <w:t>Burgas</w:t>
      </w:r>
      <w:proofErr w:type="spellEnd"/>
      <w:r w:rsidR="00E06421">
        <w:t xml:space="preserve"> prison in a relatively good light</w:t>
      </w:r>
      <w:r w:rsidR="00A7645E">
        <w:t>,</w:t>
      </w:r>
      <w:r w:rsidR="00CC5168">
        <w:t xml:space="preserve"> and </w:t>
      </w:r>
      <w:r w:rsidR="00A7645E">
        <w:t xml:space="preserve">is in any event </w:t>
      </w:r>
      <w:r w:rsidR="00CC5168">
        <w:t>three to four years old.</w:t>
      </w:r>
      <w:r w:rsidR="00A7645E">
        <w:t xml:space="preserve"> Furthermore, t</w:t>
      </w:r>
      <w:r w:rsidR="00F91772">
        <w:t xml:space="preserve">he assurance </w:t>
      </w:r>
      <w:r w:rsidR="00971095">
        <w:t xml:space="preserve">in </w:t>
      </w:r>
      <w:r w:rsidR="00A6157D">
        <w:t>Mr Kolev’s</w:t>
      </w:r>
      <w:r w:rsidR="00971095">
        <w:t xml:space="preserve"> case </w:t>
      </w:r>
      <w:r w:rsidR="00F91772">
        <w:t xml:space="preserve">was less </w:t>
      </w:r>
      <w:r w:rsidR="00466ACC">
        <w:t>detailed</w:t>
      </w:r>
      <w:r w:rsidR="00F91772">
        <w:t xml:space="preserve"> than the assurance</w:t>
      </w:r>
      <w:r w:rsidR="00A6157D">
        <w:t xml:space="preserve">s in the </w:t>
      </w:r>
      <w:r w:rsidR="00466ACC">
        <w:t>22 March 2022 letter</w:t>
      </w:r>
      <w:r w:rsidR="00F91772">
        <w:t xml:space="preserve">. </w:t>
      </w:r>
      <w:r w:rsidR="00681B05">
        <w:t xml:space="preserve">So </w:t>
      </w:r>
      <w:r w:rsidR="0012167A">
        <w:t>Mr Kolev</w:t>
      </w:r>
      <w:r w:rsidR="00681B05">
        <w:t>’s evidence</w:t>
      </w:r>
      <w:r w:rsidR="0012167A">
        <w:t xml:space="preserve">, either considered </w:t>
      </w:r>
      <w:r w:rsidR="00846E9D">
        <w:t>on its own</w:t>
      </w:r>
      <w:r w:rsidR="0012167A">
        <w:t xml:space="preserve"> or together with all the other evidence, does not </w:t>
      </w:r>
      <w:r w:rsidR="00DD3D52">
        <w:t>establish</w:t>
      </w:r>
      <w:r w:rsidR="0012167A">
        <w:t xml:space="preserve"> an arguable case that the </w:t>
      </w:r>
      <w:r w:rsidR="00ED6253">
        <w:t>assurance</w:t>
      </w:r>
      <w:r w:rsidR="0033012E">
        <w:t>s</w:t>
      </w:r>
      <w:r w:rsidR="00DD3D52">
        <w:t xml:space="preserve"> of </w:t>
      </w:r>
      <w:r w:rsidR="0033012E">
        <w:t xml:space="preserve">20 May 2020 and </w:t>
      </w:r>
      <w:r w:rsidR="00DD3D52">
        <w:t>22 March 2022</w:t>
      </w:r>
      <w:r w:rsidR="00677D6C">
        <w:t xml:space="preserve"> </w:t>
      </w:r>
      <w:r w:rsidR="00ED6253">
        <w:t xml:space="preserve">will not be </w:t>
      </w:r>
      <w:r w:rsidR="00677D6C">
        <w:t>met.</w:t>
      </w:r>
      <w:r w:rsidR="0012167A">
        <w:t xml:space="preserve"> </w:t>
      </w:r>
    </w:p>
    <w:p w14:paraId="7601B58E" w14:textId="47DE332C" w:rsidR="003901A1" w:rsidRDefault="003901A1" w:rsidP="00292AC4">
      <w:pPr>
        <w:pStyle w:val="ParaLevel1"/>
      </w:pPr>
      <w:r>
        <w:t xml:space="preserve">That </w:t>
      </w:r>
      <w:r w:rsidR="00F061A1">
        <w:t>deals with</w:t>
      </w:r>
      <w:r>
        <w:t xml:space="preserve"> the criticisms of the judge</w:t>
      </w:r>
      <w:r w:rsidR="003961DC">
        <w:t>. I should therefore say that, e</w:t>
      </w:r>
      <w:r>
        <w:t>ven if a contrary view is possible on some of the individual points raised under both Grounds 1 and 2, those were matters which were considered, if sometimes in brief terms, by the judge. What matters in this appeal is whether the judge was wrong; not whether he reached a conclusion which, although open to him, the appellant does not like. In my judgment, there is nothing in the judge’s judgment which could be said to be wrong for the purposes of section 27 of the Act. For the reasons that I have set out, I consider that he was right but, allowing a proper margin for judges to take a different view of particular parts of the evidence, I consider that the judge’s judgment was, at the very least, one that was open to him. There was manifestly no error of law.</w:t>
      </w:r>
    </w:p>
    <w:p w14:paraId="5700FF04" w14:textId="2A7D9786" w:rsidR="00DC4CA9" w:rsidRDefault="00900CD3" w:rsidP="00292AC4">
      <w:pPr>
        <w:pStyle w:val="ParaLevel1"/>
      </w:pPr>
      <w:r>
        <w:t xml:space="preserve">The third complaint </w:t>
      </w:r>
      <w:r w:rsidR="003961DC">
        <w:t xml:space="preserve">now raised </w:t>
      </w:r>
      <w:r>
        <w:t>is that the new information, that is to say the assurance of 22 March 2022</w:t>
      </w:r>
      <w:r w:rsidR="008262F1">
        <w:t xml:space="preserve"> (when considered </w:t>
      </w:r>
      <w:r w:rsidR="00CC7C56">
        <w:t xml:space="preserve">together </w:t>
      </w:r>
      <w:r w:rsidR="008262F1">
        <w:t>with the assurance of 20 May 2020)</w:t>
      </w:r>
      <w:r w:rsidR="003332C0">
        <w:t>,</w:t>
      </w:r>
      <w:r w:rsidR="00706473">
        <w:t xml:space="preserve"> was not sufficient to allay </w:t>
      </w:r>
      <w:r w:rsidR="00C95E89">
        <w:t xml:space="preserve">the </w:t>
      </w:r>
      <w:r w:rsidR="00706473">
        <w:t>concerns</w:t>
      </w:r>
      <w:r w:rsidR="00C95E89">
        <w:t xml:space="preserve"> raised on behalf of the appellant</w:t>
      </w:r>
      <w:r w:rsidR="00706473">
        <w:t xml:space="preserve">. </w:t>
      </w:r>
      <w:r w:rsidR="00E608CA">
        <w:t xml:space="preserve">Before </w:t>
      </w:r>
      <w:r w:rsidR="00706473">
        <w:t>I d</w:t>
      </w:r>
      <w:r w:rsidR="00AB621D">
        <w:t>eal</w:t>
      </w:r>
      <w:r w:rsidR="00706473">
        <w:t xml:space="preserve"> with each alleged inadequacy in brief terms below</w:t>
      </w:r>
      <w:r w:rsidR="00E608CA">
        <w:t xml:space="preserve">, I should make one </w:t>
      </w:r>
      <w:r w:rsidR="000960EC">
        <w:t>wider point about the process on which Mr Owen embarked</w:t>
      </w:r>
      <w:r w:rsidR="00706473">
        <w:t>.</w:t>
      </w:r>
    </w:p>
    <w:p w14:paraId="01E60FE6" w14:textId="12A534D1" w:rsidR="006C79C9" w:rsidRDefault="006C79C9" w:rsidP="00292AC4">
      <w:pPr>
        <w:pStyle w:val="ParaLevel1"/>
      </w:pPr>
      <w:r>
        <w:t>At one point in his oral submissions, Mr Owen referred to the assurances of 20 May 2020 and 22 March 2022 and said that, if you were marking them as an exam paper</w:t>
      </w:r>
      <w:r w:rsidR="00467394">
        <w:t>,</w:t>
      </w:r>
      <w:r>
        <w:t xml:space="preserve"> the Bulgarian authorities would not score highly. As I pointed out to him at the time, I considered that to be an apt analogy for </w:t>
      </w:r>
      <w:r w:rsidR="00826B0A">
        <w:t>the exercise on which</w:t>
      </w:r>
      <w:r>
        <w:t xml:space="preserve"> he </w:t>
      </w:r>
      <w:r w:rsidR="00826B0A">
        <w:t>had embarked</w:t>
      </w:r>
      <w:r w:rsidR="00B345E7">
        <w:t>, but</w:t>
      </w:r>
      <w:r w:rsidR="00115797">
        <w:t xml:space="preserve"> I am not</w:t>
      </w:r>
      <w:r w:rsidR="00B345E7">
        <w:t xml:space="preserve"> </w:t>
      </w:r>
      <w:r w:rsidR="00115797">
        <w:t xml:space="preserve">persuaded that it is an appropriate approach. It is </w:t>
      </w:r>
      <w:r w:rsidR="00D111CF">
        <w:t>wrong</w:t>
      </w:r>
      <w:r w:rsidR="00115797">
        <w:t xml:space="preserve"> to sugge</w:t>
      </w:r>
      <w:r w:rsidR="00604BF1">
        <w:t>s</w:t>
      </w:r>
      <w:r w:rsidR="00115797">
        <w:t xml:space="preserve">t </w:t>
      </w:r>
      <w:r w:rsidR="00604BF1">
        <w:t>that, even for a country such as Bulgaria, where assurances are required</w:t>
      </w:r>
      <w:r w:rsidR="00D111CF">
        <w:t xml:space="preserve"> in every case</w:t>
      </w:r>
      <w:r w:rsidR="00604BF1">
        <w:t>, the court should examine every question and every answer and, unless the requesting territory passes each time with an A</w:t>
      </w:r>
      <w:r w:rsidR="00BE0F35">
        <w:t>*</w:t>
      </w:r>
      <w:r w:rsidR="00604BF1">
        <w:t xml:space="preserve">, extradition </w:t>
      </w:r>
      <w:r w:rsidR="00BE0F35">
        <w:t>must</w:t>
      </w:r>
      <w:r w:rsidR="00604BF1">
        <w:t xml:space="preserve"> be refused.</w:t>
      </w:r>
      <w:r w:rsidR="00703A67">
        <w:t xml:space="preserve"> What matters is the overall effect of the assurances and the court</w:t>
      </w:r>
      <w:r w:rsidR="00C878B8">
        <w:t>’</w:t>
      </w:r>
      <w:r w:rsidR="00703A67">
        <w:t>s evaluation of them.</w:t>
      </w:r>
    </w:p>
    <w:p w14:paraId="6FDE11FF" w14:textId="24AB6BAF" w:rsidR="007F66CE" w:rsidRDefault="00724494" w:rsidP="00292AC4">
      <w:pPr>
        <w:pStyle w:val="ParaLevel1"/>
      </w:pPr>
      <w:r>
        <w:t>The first alleged inadequacy is that</w:t>
      </w:r>
      <w:r w:rsidR="00884BCD">
        <w:t>, because</w:t>
      </w:r>
      <w:r>
        <w:t xml:space="preserve"> the appellant might be moved to </w:t>
      </w:r>
      <w:proofErr w:type="spellStart"/>
      <w:r>
        <w:t>Zhi</w:t>
      </w:r>
      <w:r w:rsidR="0095683B">
        <w:t>tarovo</w:t>
      </w:r>
      <w:proofErr w:type="spellEnd"/>
      <w:r w:rsidR="006630BC">
        <w:t xml:space="preserve"> prison dormitory in</w:t>
      </w:r>
      <w:r w:rsidR="003332C0">
        <w:t>stead of</w:t>
      </w:r>
      <w:r w:rsidR="006630BC">
        <w:t xml:space="preserve"> </w:t>
      </w:r>
      <w:proofErr w:type="spellStart"/>
      <w:r w:rsidR="006630BC">
        <w:t>Burgas</w:t>
      </w:r>
      <w:proofErr w:type="spellEnd"/>
      <w:r w:rsidR="006630BC">
        <w:t xml:space="preserve"> prison</w:t>
      </w:r>
      <w:r w:rsidR="00884BCD">
        <w:t xml:space="preserve">, there is </w:t>
      </w:r>
      <w:r w:rsidR="0008601D">
        <w:t xml:space="preserve">evidence in </w:t>
      </w:r>
      <w:r w:rsidR="00102310">
        <w:t>Mr Kolev’s statement</w:t>
      </w:r>
      <w:r w:rsidR="00884BCD">
        <w:t xml:space="preserve"> that </w:t>
      </w:r>
      <w:proofErr w:type="spellStart"/>
      <w:r w:rsidR="00884BCD">
        <w:t>Zhitarovo</w:t>
      </w:r>
      <w:proofErr w:type="spellEnd"/>
      <w:r w:rsidR="00884BCD">
        <w:t xml:space="preserve"> is non-compliant</w:t>
      </w:r>
      <w:r w:rsidR="00102310">
        <w:t>. I disagree</w:t>
      </w:r>
      <w:r w:rsidR="00911137">
        <w:t xml:space="preserve">: </w:t>
      </w:r>
      <w:r w:rsidR="00102310">
        <w:t xml:space="preserve">the complaints </w:t>
      </w:r>
      <w:r w:rsidR="00FA7BCF">
        <w:t>that Mr Kolev</w:t>
      </w:r>
      <w:r w:rsidR="003332C0">
        <w:t xml:space="preserve"> makes about </w:t>
      </w:r>
      <w:proofErr w:type="spellStart"/>
      <w:r w:rsidR="003332C0">
        <w:t>Zhitarovo</w:t>
      </w:r>
      <w:proofErr w:type="spellEnd"/>
      <w:r w:rsidR="00102310">
        <w:t xml:space="preserve"> do not themselves amount to clear </w:t>
      </w:r>
      <w:r w:rsidR="00C47863">
        <w:t xml:space="preserve">evidence of a </w:t>
      </w:r>
      <w:r w:rsidR="00102310">
        <w:t xml:space="preserve">breach of Article 3. </w:t>
      </w:r>
      <w:r w:rsidR="00C47863">
        <w:t>Much more importantly, t</w:t>
      </w:r>
      <w:r w:rsidR="00102310">
        <w:t xml:space="preserve">hey are </w:t>
      </w:r>
      <w:r w:rsidR="00911137">
        <w:t>in any event</w:t>
      </w:r>
      <w:r w:rsidR="00102310">
        <w:t xml:space="preserve"> </w:t>
      </w:r>
      <w:r w:rsidR="009D35B0">
        <w:t xml:space="preserve">three or </w:t>
      </w:r>
      <w:r w:rsidR="00102310">
        <w:t xml:space="preserve">four years old. </w:t>
      </w:r>
      <w:r w:rsidR="00F625CF">
        <w:t xml:space="preserve">I return to the separate question about the sanitary facilities there at paragraphs </w:t>
      </w:r>
      <w:r w:rsidR="00C64F2A">
        <w:t>77 and 82 below.</w:t>
      </w:r>
    </w:p>
    <w:p w14:paraId="7D2738E8" w14:textId="381F5BCF" w:rsidR="00717FEA" w:rsidRDefault="00467255" w:rsidP="00292AC4">
      <w:pPr>
        <w:pStyle w:val="ParaLevel1"/>
      </w:pPr>
      <w:r>
        <w:t>The s</w:t>
      </w:r>
      <w:r w:rsidR="000B0368">
        <w:t>econd</w:t>
      </w:r>
      <w:r>
        <w:t xml:space="preserve"> </w:t>
      </w:r>
      <w:r w:rsidR="009D35B0">
        <w:t xml:space="preserve">alleged </w:t>
      </w:r>
      <w:r>
        <w:t>inadequacy</w:t>
      </w:r>
      <w:r w:rsidR="000B0368">
        <w:t xml:space="preserve"> is said </w:t>
      </w:r>
      <w:r>
        <w:t xml:space="preserve">to be </w:t>
      </w:r>
      <w:r w:rsidR="000B0368">
        <w:t xml:space="preserve">that there is no answer to the question as to which part </w:t>
      </w:r>
      <w:r>
        <w:t xml:space="preserve">of </w:t>
      </w:r>
      <w:r w:rsidR="000B0368">
        <w:t xml:space="preserve">each facility the appellant would be detained in if </w:t>
      </w:r>
      <w:r w:rsidR="008C2F09">
        <w:t xml:space="preserve">he was </w:t>
      </w:r>
      <w:r w:rsidR="000B0368">
        <w:t xml:space="preserve">extradited. </w:t>
      </w:r>
      <w:r w:rsidR="00850714">
        <w:t>I disagree. The response makes plain that the appellant would be held in an ident</w:t>
      </w:r>
      <w:r w:rsidR="00E47638">
        <w:t>i</w:t>
      </w:r>
      <w:r w:rsidR="00850714">
        <w:t>fied section o</w:t>
      </w:r>
      <w:r w:rsidR="00E47638">
        <w:t>f</w:t>
      </w:r>
      <w:r w:rsidR="00850714">
        <w:t xml:space="preserve"> the identified prison in a cell which complied with minimum international standards.</w:t>
      </w:r>
      <w:r w:rsidR="00E47638">
        <w:t xml:space="preserve"> I do not accept that</w:t>
      </w:r>
      <w:r w:rsidR="004600D8">
        <w:t xml:space="preserve"> that</w:t>
      </w:r>
      <w:r w:rsidR="00E47638">
        <w:t xml:space="preserve"> is a general and vagu</w:t>
      </w:r>
      <w:r w:rsidR="000977A6">
        <w:t>e</w:t>
      </w:r>
      <w:r w:rsidR="00E47638">
        <w:t xml:space="preserve"> assurance: realistically, it is </w:t>
      </w:r>
      <w:r w:rsidR="00E47638">
        <w:lastRenderedPageBreak/>
        <w:t>the only assurance that could be given.</w:t>
      </w:r>
      <w:r w:rsidR="000977A6">
        <w:t xml:space="preserve"> There may be all sorts of immediate reasons why the appellant might be moved from one part of the facility to another. Those could never be antic</w:t>
      </w:r>
      <w:r w:rsidR="00BF2277">
        <w:t xml:space="preserve">ipated in advance. </w:t>
      </w:r>
    </w:p>
    <w:p w14:paraId="14894F3A" w14:textId="11B8DEB4" w:rsidR="00DF78BE" w:rsidRDefault="00BF2277" w:rsidP="00292AC4">
      <w:pPr>
        <w:pStyle w:val="ParaLevel1"/>
      </w:pPr>
      <w:r>
        <w:t>T</w:t>
      </w:r>
      <w:r w:rsidR="008C2F09">
        <w:t>he t</w:t>
      </w:r>
      <w:r>
        <w:t>hird</w:t>
      </w:r>
      <w:r w:rsidR="008C2F09">
        <w:t xml:space="preserve"> </w:t>
      </w:r>
      <w:r w:rsidR="003930F9">
        <w:t xml:space="preserve">alleged </w:t>
      </w:r>
      <w:r w:rsidR="008C2F09">
        <w:t>inadequacy</w:t>
      </w:r>
      <w:r>
        <w:t xml:space="preserve"> is a complaint that there is no specific answer to the question as to s</w:t>
      </w:r>
      <w:r w:rsidR="0073344A">
        <w:t xml:space="preserve">elf-contained sanitary facilities. </w:t>
      </w:r>
      <w:r>
        <w:t xml:space="preserve"> </w:t>
      </w:r>
      <w:r w:rsidR="00D23684">
        <w:t>I disagree:</w:t>
      </w:r>
      <w:r w:rsidR="00E908A3">
        <w:t xml:space="preserve"> there is a</w:t>
      </w:r>
      <w:r w:rsidR="00C47ED1">
        <w:t xml:space="preserve"> specific</w:t>
      </w:r>
      <w:r w:rsidR="00E908A3">
        <w:t xml:space="preserve"> answer </w:t>
      </w:r>
      <w:r w:rsidR="002C1BE3">
        <w:t>to that question</w:t>
      </w:r>
      <w:r w:rsidR="007156D3">
        <w:t xml:space="preserve"> i</w:t>
      </w:r>
      <w:r w:rsidR="00E908A3">
        <w:t xml:space="preserve">n </w:t>
      </w:r>
      <w:r w:rsidR="00BE628A">
        <w:t>the May 2020 assurance</w:t>
      </w:r>
      <w:r w:rsidR="003930F9">
        <w:t xml:space="preserve"> (see paragraph 50 above)</w:t>
      </w:r>
      <w:r w:rsidR="00BE628A">
        <w:t xml:space="preserve">. That has been added to by the reference </w:t>
      </w:r>
      <w:r w:rsidR="003930F9">
        <w:t xml:space="preserve">in the March 2022 letter </w:t>
      </w:r>
      <w:r w:rsidR="00BE628A">
        <w:t>to</w:t>
      </w:r>
      <w:r w:rsidR="00E908A3">
        <w:t xml:space="preserve"> </w:t>
      </w:r>
      <w:r w:rsidR="007C5D96">
        <w:t xml:space="preserve">the availability of </w:t>
      </w:r>
      <w:r w:rsidR="00E908A3">
        <w:t>hot and cold running water.</w:t>
      </w:r>
      <w:r w:rsidR="004A19CE">
        <w:t xml:space="preserve"> In addition, I note that</w:t>
      </w:r>
      <w:r w:rsidR="00573084">
        <w:t xml:space="preserve"> Mr Kolev d</w:t>
      </w:r>
      <w:r w:rsidR="003C4190">
        <w:t>oes</w:t>
      </w:r>
      <w:r w:rsidR="00573084">
        <w:t xml:space="preserve"> not say th</w:t>
      </w:r>
      <w:r w:rsidR="008C2F09">
        <w:t>at</w:t>
      </w:r>
      <w:r w:rsidR="00573084">
        <w:t xml:space="preserve"> </w:t>
      </w:r>
      <w:proofErr w:type="spellStart"/>
      <w:r w:rsidR="00573084">
        <w:t>Burgas</w:t>
      </w:r>
      <w:proofErr w:type="spellEnd"/>
      <w:r w:rsidR="00573084">
        <w:t xml:space="preserve"> prison did not have </w:t>
      </w:r>
      <w:r w:rsidR="002126D6">
        <w:t>adequate sanitary</w:t>
      </w:r>
      <w:r w:rsidR="00573084">
        <w:t xml:space="preserve"> facilities</w:t>
      </w:r>
      <w:r w:rsidR="008F398D">
        <w:rPr>
          <w:rStyle w:val="FootnoteReference"/>
        </w:rPr>
        <w:footnoteReference w:id="3"/>
      </w:r>
      <w:r w:rsidR="00573084">
        <w:t xml:space="preserve">. </w:t>
      </w:r>
      <w:r w:rsidR="00703A67">
        <w:t>Thus the highest that it can be put is</w:t>
      </w:r>
      <w:r w:rsidR="00ED69CC">
        <w:t xml:space="preserve"> by reference to</w:t>
      </w:r>
      <w:r w:rsidR="00703A67">
        <w:t xml:space="preserve"> Mr </w:t>
      </w:r>
      <w:r w:rsidR="007F5D62">
        <w:t>Kolev’s evidence, s</w:t>
      </w:r>
      <w:r w:rsidR="009220E7">
        <w:t>ummarised</w:t>
      </w:r>
      <w:r w:rsidR="007F5D62">
        <w:t xml:space="preserve"> above, about the toilet facilities in </w:t>
      </w:r>
      <w:proofErr w:type="spellStart"/>
      <w:r w:rsidR="007F5D62">
        <w:t>Zhitarov</w:t>
      </w:r>
      <w:r w:rsidR="003B5F9E">
        <w:t>o</w:t>
      </w:r>
      <w:proofErr w:type="spellEnd"/>
      <w:r w:rsidR="0086037B">
        <w:t xml:space="preserve">, where </w:t>
      </w:r>
      <w:r w:rsidR="00F97D97">
        <w:t>it is</w:t>
      </w:r>
      <w:r w:rsidR="0086037B">
        <w:t xml:space="preserve"> possibl</w:t>
      </w:r>
      <w:r w:rsidR="00F97D97">
        <w:t>e</w:t>
      </w:r>
      <w:r w:rsidR="0086037B">
        <w:t xml:space="preserve"> that the appellant may be transferred.</w:t>
      </w:r>
      <w:r w:rsidR="001F2F1C">
        <w:t xml:space="preserve"> </w:t>
      </w:r>
    </w:p>
    <w:p w14:paraId="742AC586" w14:textId="1E8C6B31" w:rsidR="00BF2277" w:rsidRDefault="002C1BE3" w:rsidP="00292AC4">
      <w:pPr>
        <w:pStyle w:val="ParaLevel1"/>
      </w:pPr>
      <w:r>
        <w:t>The f</w:t>
      </w:r>
      <w:r w:rsidR="00AF2AB6">
        <w:t>ourth</w:t>
      </w:r>
      <w:r>
        <w:t xml:space="preserve"> </w:t>
      </w:r>
      <w:r w:rsidR="00AF2AB6">
        <w:t xml:space="preserve">complaint </w:t>
      </w:r>
      <w:r>
        <w:t xml:space="preserve">is </w:t>
      </w:r>
      <w:r w:rsidR="00AF2AB6">
        <w:t xml:space="preserve">about an absence of specific information as to monitoring. </w:t>
      </w:r>
      <w:r w:rsidR="00461A30">
        <w:t>The</w:t>
      </w:r>
      <w:r w:rsidR="001F23D3">
        <w:t xml:space="preserve"> arguments based on the</w:t>
      </w:r>
      <w:r w:rsidR="00461A30">
        <w:t xml:space="preserve"> absence of </w:t>
      </w:r>
      <w:r w:rsidR="00D90393">
        <w:t>monitoring</w:t>
      </w:r>
      <w:r w:rsidR="00461A30">
        <w:t xml:space="preserve"> information</w:t>
      </w:r>
      <w:r>
        <w:t xml:space="preserve"> w</w:t>
      </w:r>
      <w:r w:rsidR="001F23D3">
        <w:t>ere</w:t>
      </w:r>
      <w:r>
        <w:t xml:space="preserve"> rejected </w:t>
      </w:r>
      <w:r w:rsidR="0030050F">
        <w:t xml:space="preserve">by Singh LJ at [51]-[52] of </w:t>
      </w:r>
      <w:proofErr w:type="spellStart"/>
      <w:r w:rsidR="0030050F" w:rsidRPr="0030050F">
        <w:rPr>
          <w:i/>
          <w:iCs/>
        </w:rPr>
        <w:t>Chech</w:t>
      </w:r>
      <w:r w:rsidR="006F1DD5">
        <w:rPr>
          <w:i/>
          <w:iCs/>
        </w:rPr>
        <w:t>e</w:t>
      </w:r>
      <w:r w:rsidR="0030050F" w:rsidRPr="0030050F">
        <w:rPr>
          <w:i/>
          <w:iCs/>
        </w:rPr>
        <w:t>v</w:t>
      </w:r>
      <w:proofErr w:type="spellEnd"/>
      <w:r w:rsidR="0030050F" w:rsidRPr="0030050F">
        <w:rPr>
          <w:i/>
          <w:iCs/>
        </w:rPr>
        <w:t xml:space="preserve"> </w:t>
      </w:r>
      <w:r w:rsidR="008A6EF9">
        <w:rPr>
          <w:i/>
          <w:iCs/>
        </w:rPr>
        <w:t>2</w:t>
      </w:r>
      <w:r w:rsidR="0030050F">
        <w:t xml:space="preserve">. </w:t>
      </w:r>
      <w:r w:rsidR="001F23D3">
        <w:t>In my view, the same result must apply here.</w:t>
      </w:r>
      <w:r w:rsidR="00DF5B99">
        <w:t xml:space="preserve"> </w:t>
      </w:r>
      <w:r w:rsidR="001F2F1C">
        <w:t>Further and in any event, a proper assurance as to monitoring was given in the 20 May 2020 assurance:</w:t>
      </w:r>
      <w:r w:rsidR="00D07D0E">
        <w:t xml:space="preserve"> see paragraph </w:t>
      </w:r>
      <w:r w:rsidR="00C54C9C">
        <w:t>50</w:t>
      </w:r>
      <w:r w:rsidR="00D07D0E">
        <w:t xml:space="preserve"> above.</w:t>
      </w:r>
    </w:p>
    <w:p w14:paraId="183E2D97" w14:textId="0BF8F093" w:rsidR="00B94580" w:rsidRDefault="00554D0B" w:rsidP="00292AC4">
      <w:pPr>
        <w:pStyle w:val="ParaLevel1"/>
      </w:pPr>
      <w:r>
        <w:t>The f</w:t>
      </w:r>
      <w:r w:rsidR="008933C6">
        <w:t>ifth</w:t>
      </w:r>
      <w:r>
        <w:t xml:space="preserve"> </w:t>
      </w:r>
      <w:r w:rsidR="008933C6">
        <w:t xml:space="preserve">complaint </w:t>
      </w:r>
      <w:r>
        <w:t xml:space="preserve">is </w:t>
      </w:r>
      <w:r w:rsidR="008933C6">
        <w:t xml:space="preserve">about the absence of any specific </w:t>
      </w:r>
      <w:r w:rsidR="00ED7E57">
        <w:t xml:space="preserve">measures in relation to the spread of </w:t>
      </w:r>
      <w:proofErr w:type="spellStart"/>
      <w:r w:rsidR="00ED7E57">
        <w:t>Covid</w:t>
      </w:r>
      <w:proofErr w:type="spellEnd"/>
      <w:r w:rsidR="00ED7E57">
        <w:t xml:space="preserve"> 19.</w:t>
      </w:r>
      <w:r w:rsidR="00C23850">
        <w:t xml:space="preserve"> </w:t>
      </w:r>
      <w:r w:rsidR="00DF5B99">
        <w:t xml:space="preserve">That question was </w:t>
      </w:r>
      <w:r w:rsidR="00D90393">
        <w:t xml:space="preserve">again </w:t>
      </w:r>
      <w:r w:rsidR="00DF5B99">
        <w:t xml:space="preserve">‘borrowed’ from </w:t>
      </w:r>
      <w:proofErr w:type="spellStart"/>
      <w:r w:rsidR="00DF5B99" w:rsidRPr="002702CB">
        <w:rPr>
          <w:i/>
          <w:iCs/>
        </w:rPr>
        <w:t>Chechov</w:t>
      </w:r>
      <w:proofErr w:type="spellEnd"/>
      <w:r w:rsidR="00B10D5A">
        <w:rPr>
          <w:i/>
          <w:iCs/>
        </w:rPr>
        <w:t xml:space="preserve"> 2</w:t>
      </w:r>
      <w:r w:rsidR="00DF5B99">
        <w:t xml:space="preserve">, </w:t>
      </w:r>
      <w:r w:rsidR="002702CB">
        <w:t xml:space="preserve">at a time when </w:t>
      </w:r>
      <w:r w:rsidR="00DD7D5A">
        <w:t>the pandemic</w:t>
      </w:r>
      <w:r w:rsidR="002702CB">
        <w:t xml:space="preserve"> was a more significant problem. In any event, it was </w:t>
      </w:r>
      <w:r w:rsidR="00DD7D5A">
        <w:t xml:space="preserve">addressed in generic terms there, </w:t>
      </w:r>
      <w:r w:rsidR="00A26E71">
        <w:t xml:space="preserve">the nature of </w:t>
      </w:r>
      <w:r w:rsidR="00DD7D5A">
        <w:t xml:space="preserve">which did not trouble this court. </w:t>
      </w:r>
      <w:r w:rsidR="00D07D0E">
        <w:t xml:space="preserve">In addition, </w:t>
      </w:r>
      <w:r w:rsidR="00DF4399">
        <w:t xml:space="preserve">in a subsequent document dated 2 March 2022 but only provided on the morning of the appeal, a detailed and </w:t>
      </w:r>
      <w:r w:rsidR="00E30FEB">
        <w:t xml:space="preserve">full assurance was given </w:t>
      </w:r>
      <w:r w:rsidR="00164242">
        <w:t xml:space="preserve">by the Bulgarian Ministry of Justice </w:t>
      </w:r>
      <w:r w:rsidR="00E30FEB">
        <w:t>in relation to Covd-19.</w:t>
      </w:r>
    </w:p>
    <w:p w14:paraId="6C385A05" w14:textId="7750C0F0" w:rsidR="00C06AB4" w:rsidRDefault="00B94580" w:rsidP="00292AC4">
      <w:pPr>
        <w:pStyle w:val="ParaLevel1"/>
      </w:pPr>
      <w:r>
        <w:t>It should be added that t</w:t>
      </w:r>
      <w:r w:rsidR="00A62C2C">
        <w:t>h</w:t>
      </w:r>
      <w:r w:rsidR="00810DA5">
        <w:t xml:space="preserve">ere is nothing to suggest that </w:t>
      </w:r>
      <w:proofErr w:type="spellStart"/>
      <w:r w:rsidR="00810DA5">
        <w:t>Covid</w:t>
      </w:r>
      <w:proofErr w:type="spellEnd"/>
      <w:r w:rsidR="00810DA5">
        <w:t xml:space="preserve"> is not being </w:t>
      </w:r>
      <w:r w:rsidR="00294B6B">
        <w:t xml:space="preserve">dealt with adequately in Bulgarian prisons, and so this </w:t>
      </w:r>
      <w:r w:rsidR="00554D0B">
        <w:t>can be</w:t>
      </w:r>
      <w:r w:rsidR="00A62C2C">
        <w:t xml:space="preserve"> no basis for </w:t>
      </w:r>
      <w:r w:rsidR="00554D0B">
        <w:t xml:space="preserve">finding a likely breach of Article 3 and </w:t>
      </w:r>
      <w:r w:rsidR="00A62C2C">
        <w:t>refusing extradition.</w:t>
      </w:r>
      <w:r w:rsidR="007C0D88">
        <w:t xml:space="preserve"> </w:t>
      </w:r>
      <w:r w:rsidR="00DF5B99">
        <w:t>There is nothing in the evidence provided by the appellant to suggest that this is a realistic, as opposed to a contrived, ground of complaint.</w:t>
      </w:r>
    </w:p>
    <w:p w14:paraId="7C477E6D" w14:textId="20B7D3FB" w:rsidR="005716C5" w:rsidRDefault="00554D0B" w:rsidP="00292AC4">
      <w:pPr>
        <w:pStyle w:val="ParaLevel1"/>
      </w:pPr>
      <w:r>
        <w:t>The s</w:t>
      </w:r>
      <w:r w:rsidR="00CE21A3">
        <w:t>ixth an</w:t>
      </w:r>
      <w:r w:rsidR="00A62C2C">
        <w:t>d</w:t>
      </w:r>
      <w:r w:rsidR="00CE21A3">
        <w:t xml:space="preserve"> </w:t>
      </w:r>
      <w:r w:rsidR="00A62C2C">
        <w:t>final</w:t>
      </w:r>
      <w:r w:rsidR="00CE21A3">
        <w:t xml:space="preserve"> complaint </w:t>
      </w:r>
      <w:r w:rsidR="00887F5D">
        <w:t xml:space="preserve">is </w:t>
      </w:r>
      <w:r w:rsidR="00CE21A3">
        <w:t xml:space="preserve">that only general information </w:t>
      </w:r>
      <w:r w:rsidR="00440444">
        <w:t xml:space="preserve">has been provided about access to open air, exercise, education and medical treatment. There was greater detail, it is said, in </w:t>
      </w:r>
      <w:proofErr w:type="spellStart"/>
      <w:r w:rsidR="00E8716C">
        <w:rPr>
          <w:i/>
          <w:iCs/>
        </w:rPr>
        <w:t>Chechev</w:t>
      </w:r>
      <w:proofErr w:type="spellEnd"/>
      <w:r w:rsidR="009539B7">
        <w:rPr>
          <w:i/>
          <w:iCs/>
        </w:rPr>
        <w:t xml:space="preserve"> 2</w:t>
      </w:r>
      <w:r w:rsidR="00E8716C">
        <w:t>.</w:t>
      </w:r>
      <w:r w:rsidR="00A62C2C">
        <w:t xml:space="preserve"> </w:t>
      </w:r>
      <w:r w:rsidR="00E8716C">
        <w:t xml:space="preserve">Again, that is simply not a </w:t>
      </w:r>
      <w:r w:rsidR="00C31245">
        <w:t xml:space="preserve">proper </w:t>
      </w:r>
      <w:r w:rsidR="00E8716C">
        <w:t xml:space="preserve">ground for complaint: </w:t>
      </w:r>
      <w:r w:rsidR="00887F5D">
        <w:t xml:space="preserve">in my view, </w:t>
      </w:r>
      <w:r w:rsidR="00E8716C">
        <w:t xml:space="preserve">the answers provided in the </w:t>
      </w:r>
      <w:r w:rsidR="004C031D">
        <w:t xml:space="preserve">March 2020 </w:t>
      </w:r>
      <w:r w:rsidR="00E8716C">
        <w:t xml:space="preserve">assurance were sufficient. I would not expect </w:t>
      </w:r>
      <w:r w:rsidR="00B75997">
        <w:t xml:space="preserve">more detailed </w:t>
      </w:r>
      <w:r w:rsidR="00887F5D">
        <w:t xml:space="preserve">information </w:t>
      </w:r>
      <w:r w:rsidR="00B75997">
        <w:t>to be provided</w:t>
      </w:r>
      <w:r w:rsidR="00887F5D">
        <w:t>, so the fact that it was</w:t>
      </w:r>
      <w:r w:rsidR="004C031D">
        <w:t xml:space="preserve"> provided</w:t>
      </w:r>
      <w:r w:rsidR="00887F5D">
        <w:t xml:space="preserve"> in another case is nothing to the point</w:t>
      </w:r>
      <w:r w:rsidR="00B75997">
        <w:t>.</w:t>
      </w:r>
    </w:p>
    <w:p w14:paraId="0FDF75C7" w14:textId="52295410" w:rsidR="00FB344E" w:rsidRDefault="00E30FEB" w:rsidP="00292AC4">
      <w:pPr>
        <w:pStyle w:val="ParaLevel1"/>
      </w:pPr>
      <w:r>
        <w:t xml:space="preserve">In summary, therefore, </w:t>
      </w:r>
      <w:r w:rsidR="00047242">
        <w:t xml:space="preserve">the only </w:t>
      </w:r>
      <w:r w:rsidR="004C031D">
        <w:t xml:space="preserve">residual </w:t>
      </w:r>
      <w:r w:rsidR="00047242">
        <w:t xml:space="preserve">concern that I have arising out of the </w:t>
      </w:r>
      <w:r w:rsidR="004C031D">
        <w:t xml:space="preserve">two sets of </w:t>
      </w:r>
      <w:r w:rsidR="00047242">
        <w:t xml:space="preserve">assurances relates to the possible </w:t>
      </w:r>
      <w:r w:rsidR="00C83DBE">
        <w:t xml:space="preserve">state of the </w:t>
      </w:r>
      <w:r w:rsidR="00047242">
        <w:t xml:space="preserve">sanitary facilities in </w:t>
      </w:r>
      <w:r w:rsidR="00242AFE">
        <w:t xml:space="preserve">one of the </w:t>
      </w:r>
      <w:r w:rsidR="00047242">
        <w:t>possible prison</w:t>
      </w:r>
      <w:r w:rsidR="00242AFE">
        <w:t>s</w:t>
      </w:r>
      <w:r w:rsidR="00047242">
        <w:t xml:space="preserve"> (</w:t>
      </w:r>
      <w:proofErr w:type="spellStart"/>
      <w:r w:rsidR="00047242">
        <w:t>Zhitorovo</w:t>
      </w:r>
      <w:proofErr w:type="spellEnd"/>
      <w:r w:rsidR="00585D83">
        <w:t xml:space="preserve">) </w:t>
      </w:r>
      <w:r w:rsidR="00242AFE">
        <w:t>in which</w:t>
      </w:r>
      <w:r w:rsidR="00585D83">
        <w:t xml:space="preserve"> the appellant might be held</w:t>
      </w:r>
      <w:r w:rsidR="00C83DBE">
        <w:t xml:space="preserve"> if he is moved from </w:t>
      </w:r>
      <w:proofErr w:type="spellStart"/>
      <w:r w:rsidR="00C83DBE">
        <w:t>Burgas</w:t>
      </w:r>
      <w:proofErr w:type="spellEnd"/>
      <w:r w:rsidR="00C83DBE">
        <w:t xml:space="preserve"> prison</w:t>
      </w:r>
      <w:r w:rsidR="00585D83">
        <w:t xml:space="preserve">. That </w:t>
      </w:r>
      <w:r w:rsidR="00B6680B">
        <w:t>is</w:t>
      </w:r>
      <w:r w:rsidR="00751E76">
        <w:t>,</w:t>
      </w:r>
      <w:r w:rsidR="00B6680B">
        <w:t xml:space="preserve"> however</w:t>
      </w:r>
      <w:r w:rsidR="00751E76">
        <w:t>,</w:t>
      </w:r>
      <w:r w:rsidR="00B6680B">
        <w:t xml:space="preserve"> c</w:t>
      </w:r>
      <w:r w:rsidR="008709C9">
        <w:t xml:space="preserve">ountered by the clear terms of the assurance of May </w:t>
      </w:r>
      <w:r w:rsidR="008709C9">
        <w:lastRenderedPageBreak/>
        <w:t xml:space="preserve">2020 </w:t>
      </w:r>
      <w:r w:rsidR="00CD3996">
        <w:t xml:space="preserve">(which refers to </w:t>
      </w:r>
      <w:r w:rsidR="000424D4">
        <w:t>“dormitories”</w:t>
      </w:r>
      <w:r w:rsidR="00815867">
        <w:t>,</w:t>
      </w:r>
      <w:r w:rsidR="000424D4">
        <w:t xml:space="preserve"> which is the description </w:t>
      </w:r>
      <w:r w:rsidR="003745CD">
        <w:t>used about</w:t>
      </w:r>
      <w:r w:rsidR="000424D4">
        <w:t xml:space="preserve"> </w:t>
      </w:r>
      <w:r w:rsidR="00267888">
        <w:t xml:space="preserve">the facility at </w:t>
      </w:r>
      <w:proofErr w:type="spellStart"/>
      <w:r w:rsidR="000424D4">
        <w:t>Zhitarovo</w:t>
      </w:r>
      <w:proofErr w:type="spellEnd"/>
      <w:r w:rsidR="000424D4">
        <w:t>)</w:t>
      </w:r>
      <w:r w:rsidR="005E2735">
        <w:t xml:space="preserve"> </w:t>
      </w:r>
      <w:r w:rsidR="008709C9">
        <w:t>and the fact that Mr Kolev’s evidence</w:t>
      </w:r>
      <w:r w:rsidR="00585D83">
        <w:t xml:space="preserve"> is 3</w:t>
      </w:r>
      <w:r w:rsidR="00D5746D">
        <w:t>-</w:t>
      </w:r>
      <w:r w:rsidR="00585D83">
        <w:t xml:space="preserve">4 years old. Beyond that, </w:t>
      </w:r>
      <w:r w:rsidR="00F66CF5">
        <w:t>t</w:t>
      </w:r>
      <w:r w:rsidR="008D1548">
        <w:t>here is no evidence from the appellant which contradicts or calls into question any of th</w:t>
      </w:r>
      <w:r w:rsidR="00FC5398">
        <w:t>e assurances</w:t>
      </w:r>
      <w:r w:rsidR="00C31245">
        <w:t xml:space="preserve"> </w:t>
      </w:r>
      <w:r w:rsidR="002E761F">
        <w:t xml:space="preserve">of </w:t>
      </w:r>
      <w:r w:rsidR="00ED1DE2">
        <w:t xml:space="preserve">20 May 2020 and </w:t>
      </w:r>
      <w:r w:rsidR="002E761F">
        <w:t>22 March 2022</w:t>
      </w:r>
      <w:r w:rsidR="00F92733">
        <w:t>.</w:t>
      </w:r>
      <w:r w:rsidR="00971095">
        <w:t xml:space="preserve"> Nor is there any other </w:t>
      </w:r>
      <w:r w:rsidR="00AC1C1D">
        <w:t xml:space="preserve">up-to-date </w:t>
      </w:r>
      <w:r w:rsidR="00971095">
        <w:t xml:space="preserve">evidence </w:t>
      </w:r>
      <w:r w:rsidR="00AC1C1D">
        <w:t xml:space="preserve">about </w:t>
      </w:r>
      <w:proofErr w:type="spellStart"/>
      <w:r w:rsidR="00AC1C1D">
        <w:t>Burgas</w:t>
      </w:r>
      <w:proofErr w:type="spellEnd"/>
      <w:r w:rsidR="00AC1C1D">
        <w:t xml:space="preserve"> prison </w:t>
      </w:r>
      <w:r w:rsidR="00432C36">
        <w:t xml:space="preserve">(or the possible alternatives) </w:t>
      </w:r>
      <w:r w:rsidR="00AC1C1D">
        <w:t xml:space="preserve">adduced on behalf of the appellant, which might have </w:t>
      </w:r>
      <w:r w:rsidR="00E07E2C">
        <w:t>been of</w:t>
      </w:r>
      <w:r w:rsidR="00AC1C1D">
        <w:t xml:space="preserve"> rather more relevance than the experiences of Mr Kolev three</w:t>
      </w:r>
      <w:r w:rsidR="00E07E2C">
        <w:t xml:space="preserve"> or four</w:t>
      </w:r>
      <w:r w:rsidR="00AC1C1D">
        <w:t xml:space="preserve"> years ago.</w:t>
      </w:r>
      <w:r w:rsidR="00D208F7">
        <w:t xml:space="preserve"> </w:t>
      </w:r>
      <w:r w:rsidR="00FB13E7">
        <w:t xml:space="preserve">In the round, therefore, </w:t>
      </w:r>
      <w:r w:rsidR="00D208F7">
        <w:t>I have concluded that the</w:t>
      </w:r>
      <w:r w:rsidR="005A4182">
        <w:t xml:space="preserve"> appellant has </w:t>
      </w:r>
      <w:r w:rsidR="00FB13E7">
        <w:t xml:space="preserve">not </w:t>
      </w:r>
      <w:r w:rsidR="005A4182">
        <w:t xml:space="preserve">demonstrated </w:t>
      </w:r>
      <w:r w:rsidR="00AF5836">
        <w:t xml:space="preserve">that the assurances </w:t>
      </w:r>
      <w:r w:rsidR="00394D35">
        <w:t xml:space="preserve">give rise to </w:t>
      </w:r>
      <w:r w:rsidR="005A4182">
        <w:t xml:space="preserve">strong or substantial grounds </w:t>
      </w:r>
      <w:r w:rsidR="002567C5">
        <w:t>of a real risk of a breach of Article 3.</w:t>
      </w:r>
    </w:p>
    <w:p w14:paraId="17E49239" w14:textId="45E15711" w:rsidR="00ED060A" w:rsidRDefault="002111A0" w:rsidP="00292AC4">
      <w:pPr>
        <w:pStyle w:val="ParaLevel1"/>
      </w:pPr>
      <w:r>
        <w:t xml:space="preserve">For those reasons, therefore, I </w:t>
      </w:r>
      <w:r w:rsidR="00F92733">
        <w:t xml:space="preserve">would also </w:t>
      </w:r>
      <w:r>
        <w:t xml:space="preserve">reject Ground 2 of this appeal. </w:t>
      </w:r>
      <w:r w:rsidR="008D4454">
        <w:t>All t</w:t>
      </w:r>
      <w:r>
        <w:t xml:space="preserve">hat therefore means that, if my Lord agrees, this appeal </w:t>
      </w:r>
      <w:r w:rsidR="00394D35">
        <w:t>will be</w:t>
      </w:r>
      <w:r>
        <w:t xml:space="preserve"> di</w:t>
      </w:r>
      <w:r w:rsidR="002A4501">
        <w:t>smissed.</w:t>
      </w:r>
    </w:p>
    <w:p w14:paraId="073993BF" w14:textId="74199C0D" w:rsidR="008D4454" w:rsidRPr="00C94447" w:rsidRDefault="008D4454" w:rsidP="00292AC4">
      <w:pPr>
        <w:pStyle w:val="ParaLevel1"/>
        <w:numPr>
          <w:ilvl w:val="0"/>
          <w:numId w:val="0"/>
        </w:numPr>
        <w:rPr>
          <w:b/>
          <w:bCs/>
        </w:rPr>
      </w:pPr>
      <w:r w:rsidRPr="00C94447">
        <w:rPr>
          <w:b/>
          <w:bCs/>
        </w:rPr>
        <w:t>MR JUSTICE HOLGATE</w:t>
      </w:r>
    </w:p>
    <w:p w14:paraId="01E84D22" w14:textId="5A8E7671" w:rsidR="008D4454" w:rsidRDefault="00F607B0" w:rsidP="00292AC4">
      <w:pPr>
        <w:pStyle w:val="ParaLevel1"/>
      </w:pPr>
      <w:r>
        <w:t>I agree</w:t>
      </w:r>
      <w:r w:rsidR="002F3895">
        <w:t>.</w:t>
      </w:r>
    </w:p>
    <w:p w14:paraId="7F0C4F8A" w14:textId="73EBB92A" w:rsidR="005D5697" w:rsidRDefault="005D5697" w:rsidP="00292AC4">
      <w:pPr>
        <w:pStyle w:val="ParaLevel1"/>
        <w:numPr>
          <w:ilvl w:val="0"/>
          <w:numId w:val="0"/>
        </w:numPr>
      </w:pPr>
    </w:p>
    <w:sectPr w:rsidR="005D5697" w:rsidSect="00292AC4">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711D73" w14:textId="77777777" w:rsidR="006D558D" w:rsidRDefault="006D558D">
      <w:r>
        <w:separator/>
      </w:r>
    </w:p>
  </w:endnote>
  <w:endnote w:type="continuationSeparator" w:id="0">
    <w:p w14:paraId="4F211F4E" w14:textId="77777777" w:rsidR="006D558D" w:rsidRDefault="006D558D">
      <w:r>
        <w:continuationSeparator/>
      </w:r>
    </w:p>
  </w:endnote>
  <w:endnote w:type="continuationNotice" w:id="1">
    <w:p w14:paraId="4FE1EC0D" w14:textId="77777777" w:rsidR="006D558D" w:rsidRDefault="006D55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A7753" w14:textId="77777777" w:rsidR="00292AC4" w:rsidRDefault="00292A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89E68" w14:textId="77777777" w:rsidR="005E2342" w:rsidRDefault="005E2342">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0964E" w14:textId="77777777" w:rsidR="00292AC4" w:rsidRDefault="00292AC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BB7F9" w14:textId="2EA45476" w:rsidR="005E2342" w:rsidRPr="00292AC4" w:rsidRDefault="005E2342" w:rsidP="00292A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E4CA6" w14:textId="77777777" w:rsidR="006D558D" w:rsidRDefault="006D558D">
      <w:r>
        <w:separator/>
      </w:r>
    </w:p>
  </w:footnote>
  <w:footnote w:type="continuationSeparator" w:id="0">
    <w:p w14:paraId="6B3F93ED" w14:textId="77777777" w:rsidR="006D558D" w:rsidRDefault="006D558D">
      <w:r>
        <w:continuationSeparator/>
      </w:r>
    </w:p>
  </w:footnote>
  <w:footnote w:type="continuationNotice" w:id="1">
    <w:p w14:paraId="7D88BFC2" w14:textId="77777777" w:rsidR="006D558D" w:rsidRDefault="006D558D"/>
  </w:footnote>
  <w:footnote w:id="2">
    <w:p w14:paraId="3E0B094D" w14:textId="5F586558" w:rsidR="002A3E8A" w:rsidRDefault="002A3E8A">
      <w:pPr>
        <w:pStyle w:val="FootnoteText"/>
      </w:pPr>
      <w:r>
        <w:rPr>
          <w:rStyle w:val="FootnoteReference"/>
        </w:rPr>
        <w:footnoteRef/>
      </w:r>
      <w:r>
        <w:t xml:space="preserve"> The </w:t>
      </w:r>
      <w:r w:rsidR="006C4668">
        <w:t xml:space="preserve">section is headed ‘Speciality’ but lawyers </w:t>
      </w:r>
      <w:r w:rsidR="000E2506">
        <w:t xml:space="preserve">have </w:t>
      </w:r>
      <w:r w:rsidR="006C4668">
        <w:t>habitually use</w:t>
      </w:r>
      <w:r w:rsidR="000E2506">
        <w:t>d</w:t>
      </w:r>
      <w:r w:rsidR="006C4668">
        <w:t xml:space="preserve"> the term ‘Specialty’: see </w:t>
      </w:r>
      <w:r w:rsidR="0045072E">
        <w:t xml:space="preserve">[45] of </w:t>
      </w:r>
      <w:r w:rsidR="0045072E" w:rsidRPr="000E2506">
        <w:rPr>
          <w:i/>
          <w:iCs/>
        </w:rPr>
        <w:t>Hil</w:t>
      </w:r>
      <w:r w:rsidR="0012416C" w:rsidRPr="000E2506">
        <w:rPr>
          <w:i/>
          <w:iCs/>
        </w:rPr>
        <w:t>ali</w:t>
      </w:r>
      <w:r w:rsidR="0012416C">
        <w:t>, cited at paragraph 18 c)</w:t>
      </w:r>
      <w:r w:rsidR="003B5BC7">
        <w:t xml:space="preserve"> below.</w:t>
      </w:r>
    </w:p>
  </w:footnote>
  <w:footnote w:id="3">
    <w:p w14:paraId="03C5057B" w14:textId="0A6B2A58" w:rsidR="008F398D" w:rsidRDefault="008F398D" w:rsidP="008F398D">
      <w:pPr>
        <w:pStyle w:val="ParaLevel1"/>
        <w:numPr>
          <w:ilvl w:val="0"/>
          <w:numId w:val="0"/>
        </w:numPr>
        <w:ind w:left="720" w:hanging="720"/>
      </w:pPr>
      <w:r>
        <w:rPr>
          <w:rStyle w:val="FootnoteReference"/>
        </w:rPr>
        <w:footnoteRef/>
      </w:r>
      <w:r>
        <w:t xml:space="preserve"> </w:t>
      </w:r>
      <w:r w:rsidRPr="00A97CF6">
        <w:rPr>
          <w:sz w:val="22"/>
          <w:szCs w:val="22"/>
        </w:rPr>
        <w:t>Neither does the appellant, who spent 10 years there</w:t>
      </w:r>
      <w:r w:rsidR="00752E2F">
        <w:rPr>
          <w:sz w:val="22"/>
          <w:szCs w:val="22"/>
        </w:rPr>
        <w:t>, although I imagine much of what he might have said would have been out-of-date</w:t>
      </w:r>
      <w:r w:rsidRPr="00A97CF6">
        <w:rPr>
          <w:sz w:val="22"/>
          <w:szCs w:val="22"/>
        </w:rPr>
        <w:t>.</w:t>
      </w:r>
    </w:p>
    <w:p w14:paraId="38D09E3A" w14:textId="386FE7B2" w:rsidR="008F398D" w:rsidRDefault="008F398D">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9970B6" w14:textId="77777777" w:rsidR="00292AC4" w:rsidRDefault="00292A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EB664" w14:textId="77777777" w:rsidR="00292AC4" w:rsidRDefault="00292A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20BF5F" w14:textId="77777777" w:rsidR="00292AC4" w:rsidRDefault="00292A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5E2342" w14:paraId="6D44603F" w14:textId="77777777">
      <w:tc>
        <w:tcPr>
          <w:tcW w:w="4680" w:type="dxa"/>
        </w:tcPr>
        <w:p w14:paraId="27BF6521" w14:textId="458EBF0D" w:rsidR="005E2342" w:rsidRPr="00292AC4" w:rsidRDefault="00292AC4">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320" w:type="dxa"/>
        </w:tcPr>
        <w:p w14:paraId="74975929" w14:textId="19D316BB" w:rsidR="005E2342" w:rsidRDefault="005959E7">
          <w:pPr>
            <w:pStyle w:val="Header"/>
            <w:jc w:val="right"/>
            <w:rPr>
              <w:rFonts w:ascii="Times New Roman" w:hAnsi="Times New Roman"/>
              <w:sz w:val="16"/>
            </w:rPr>
          </w:pPr>
          <w:proofErr w:type="spellStart"/>
          <w:r>
            <w:rPr>
              <w:rFonts w:ascii="Times New Roman" w:hAnsi="Times New Roman"/>
              <w:sz w:val="16"/>
            </w:rPr>
            <w:t>Miha</w:t>
          </w:r>
          <w:r w:rsidR="00EA47BD">
            <w:rPr>
              <w:rFonts w:ascii="Times New Roman" w:hAnsi="Times New Roman"/>
              <w:sz w:val="16"/>
            </w:rPr>
            <w:t>y</w:t>
          </w:r>
          <w:r>
            <w:rPr>
              <w:rFonts w:ascii="Times New Roman" w:hAnsi="Times New Roman"/>
              <w:sz w:val="16"/>
            </w:rPr>
            <w:t>lov</w:t>
          </w:r>
          <w:proofErr w:type="spellEnd"/>
          <w:r>
            <w:rPr>
              <w:rFonts w:ascii="Times New Roman" w:hAnsi="Times New Roman"/>
              <w:sz w:val="16"/>
            </w:rPr>
            <w:t xml:space="preserve"> </w:t>
          </w:r>
          <w:r w:rsidR="00EA47BD">
            <w:rPr>
              <w:rFonts w:ascii="Times New Roman" w:hAnsi="Times New Roman"/>
              <w:sz w:val="16"/>
            </w:rPr>
            <w:t>v Bulgaria</w:t>
          </w:r>
        </w:p>
      </w:tc>
    </w:tr>
  </w:tbl>
  <w:p w14:paraId="732D2F85" w14:textId="77777777" w:rsidR="005E2342" w:rsidRDefault="005E2342">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B2679"/>
    <w:multiLevelType w:val="hybridMultilevel"/>
    <w:tmpl w:val="4C98E412"/>
    <w:lvl w:ilvl="0" w:tplc="6722116A">
      <w:start w:val="1"/>
      <w:numFmt w:val="upperLetter"/>
      <w:lvlText w:val="%1."/>
      <w:lvlJc w:val="left"/>
      <w:pPr>
        <w:ind w:left="2421" w:hanging="360"/>
      </w:pPr>
      <w:rPr>
        <w:rFonts w:hint="default"/>
      </w:rPr>
    </w:lvl>
    <w:lvl w:ilvl="1" w:tplc="08090019" w:tentative="1">
      <w:start w:val="1"/>
      <w:numFmt w:val="lowerLetter"/>
      <w:lvlText w:val="%2."/>
      <w:lvlJc w:val="left"/>
      <w:pPr>
        <w:ind w:left="3141" w:hanging="360"/>
      </w:pPr>
    </w:lvl>
    <w:lvl w:ilvl="2" w:tplc="0809001B" w:tentative="1">
      <w:start w:val="1"/>
      <w:numFmt w:val="lowerRoman"/>
      <w:lvlText w:val="%3."/>
      <w:lvlJc w:val="right"/>
      <w:pPr>
        <w:ind w:left="3861" w:hanging="180"/>
      </w:pPr>
    </w:lvl>
    <w:lvl w:ilvl="3" w:tplc="0809000F" w:tentative="1">
      <w:start w:val="1"/>
      <w:numFmt w:val="decimal"/>
      <w:lvlText w:val="%4."/>
      <w:lvlJc w:val="left"/>
      <w:pPr>
        <w:ind w:left="4581" w:hanging="360"/>
      </w:pPr>
    </w:lvl>
    <w:lvl w:ilvl="4" w:tplc="08090019" w:tentative="1">
      <w:start w:val="1"/>
      <w:numFmt w:val="lowerLetter"/>
      <w:lvlText w:val="%5."/>
      <w:lvlJc w:val="left"/>
      <w:pPr>
        <w:ind w:left="5301" w:hanging="360"/>
      </w:pPr>
    </w:lvl>
    <w:lvl w:ilvl="5" w:tplc="0809001B" w:tentative="1">
      <w:start w:val="1"/>
      <w:numFmt w:val="lowerRoman"/>
      <w:lvlText w:val="%6."/>
      <w:lvlJc w:val="right"/>
      <w:pPr>
        <w:ind w:left="6021" w:hanging="180"/>
      </w:pPr>
    </w:lvl>
    <w:lvl w:ilvl="6" w:tplc="0809000F" w:tentative="1">
      <w:start w:val="1"/>
      <w:numFmt w:val="decimal"/>
      <w:lvlText w:val="%7."/>
      <w:lvlJc w:val="left"/>
      <w:pPr>
        <w:ind w:left="6741" w:hanging="360"/>
      </w:pPr>
    </w:lvl>
    <w:lvl w:ilvl="7" w:tplc="08090019" w:tentative="1">
      <w:start w:val="1"/>
      <w:numFmt w:val="lowerLetter"/>
      <w:lvlText w:val="%8."/>
      <w:lvlJc w:val="left"/>
      <w:pPr>
        <w:ind w:left="7461" w:hanging="360"/>
      </w:pPr>
    </w:lvl>
    <w:lvl w:ilvl="8" w:tplc="0809001B" w:tentative="1">
      <w:start w:val="1"/>
      <w:numFmt w:val="lowerRoman"/>
      <w:lvlText w:val="%9."/>
      <w:lvlJc w:val="right"/>
      <w:pPr>
        <w:ind w:left="8181" w:hanging="180"/>
      </w:pPr>
    </w:lvl>
  </w:abstractNum>
  <w:abstractNum w:abstractNumId="1" w15:restartNumberingAfterBreak="0">
    <w:nsid w:val="5A357617"/>
    <w:multiLevelType w:val="hybridMultilevel"/>
    <w:tmpl w:val="77A210D2"/>
    <w:lvl w:ilvl="0" w:tplc="EEBC2A9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3" w15:restartNumberingAfterBreak="0">
    <w:nsid w:val="66407AB6"/>
    <w:multiLevelType w:val="hybridMultilevel"/>
    <w:tmpl w:val="EBFCB5B4"/>
    <w:lvl w:ilvl="0" w:tplc="0809000F">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69384425"/>
    <w:multiLevelType w:val="hybridMultilevel"/>
    <w:tmpl w:val="3236CB92"/>
    <w:lvl w:ilvl="0" w:tplc="468AB166">
      <w:start w:val="7"/>
      <w:numFmt w:val="lowerLetter"/>
      <w:lvlText w:val="%1."/>
      <w:lvlJc w:val="left"/>
      <w:pPr>
        <w:ind w:left="2061" w:hanging="360"/>
      </w:pPr>
      <w:rPr>
        <w:rFonts w:hint="default"/>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5" w15:restartNumberingAfterBreak="0">
    <w:nsid w:val="754D5FD1"/>
    <w:multiLevelType w:val="hybridMultilevel"/>
    <w:tmpl w:val="6D361DCC"/>
    <w:lvl w:ilvl="0" w:tplc="14ECFFD0">
      <w:numFmt w:val="bullet"/>
      <w:lvlText w:val="-"/>
      <w:lvlJc w:val="left"/>
      <w:pPr>
        <w:ind w:left="1080" w:hanging="360"/>
      </w:pPr>
      <w:rPr>
        <w:rFonts w:ascii="Times New Roman" w:eastAsia="Times New Roman"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75D70B9F"/>
    <w:multiLevelType w:val="multilevel"/>
    <w:tmpl w:val="5984B462"/>
    <w:lvl w:ilvl="0">
      <w:start w:val="1"/>
      <w:numFmt w:val="decimal"/>
      <w:pStyle w:val="ParaLevel1"/>
      <w:lvlText w:val="%1"/>
      <w:lvlJc w:val="left"/>
      <w:pPr>
        <w:tabs>
          <w:tab w:val="num" w:pos="720"/>
        </w:tabs>
        <w:ind w:left="720" w:hanging="720"/>
      </w:pPr>
      <w:rPr>
        <w:rFonts w:ascii="Times New Roman" w:eastAsia="Times New Roman" w:hAnsi="Times New Roman" w:cs="Times New Roman"/>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2"/>
  </w:num>
  <w:num w:numId="11">
    <w:abstractNumId w:val="1"/>
  </w:num>
  <w:num w:numId="12">
    <w:abstractNumId w:val="5"/>
  </w:num>
  <w:num w:numId="13">
    <w:abstractNumId w:val="3"/>
  </w:num>
  <w:num w:numId="14">
    <w:abstractNumId w:val="4"/>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efaultTabStop w:val="567"/>
  <w:noPunctuationKerning/>
  <w:characterSpacingControl w:val="doNotCompres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64033"/>
    <w:rsid w:val="00000A88"/>
    <w:rsid w:val="000017F0"/>
    <w:rsid w:val="00006183"/>
    <w:rsid w:val="00006871"/>
    <w:rsid w:val="00007438"/>
    <w:rsid w:val="00014C55"/>
    <w:rsid w:val="00016EC5"/>
    <w:rsid w:val="00020879"/>
    <w:rsid w:val="0002113B"/>
    <w:rsid w:val="00023265"/>
    <w:rsid w:val="000236AB"/>
    <w:rsid w:val="0002441D"/>
    <w:rsid w:val="00026AF5"/>
    <w:rsid w:val="00026DC8"/>
    <w:rsid w:val="0002752D"/>
    <w:rsid w:val="00030158"/>
    <w:rsid w:val="00032048"/>
    <w:rsid w:val="000339F0"/>
    <w:rsid w:val="000424D4"/>
    <w:rsid w:val="00045121"/>
    <w:rsid w:val="00045864"/>
    <w:rsid w:val="00047242"/>
    <w:rsid w:val="00047E38"/>
    <w:rsid w:val="00050B37"/>
    <w:rsid w:val="00051E5B"/>
    <w:rsid w:val="00055F46"/>
    <w:rsid w:val="00060AC2"/>
    <w:rsid w:val="00060C28"/>
    <w:rsid w:val="0006341B"/>
    <w:rsid w:val="000648D2"/>
    <w:rsid w:val="000668E0"/>
    <w:rsid w:val="000668E9"/>
    <w:rsid w:val="000721E9"/>
    <w:rsid w:val="0007321F"/>
    <w:rsid w:val="0007786E"/>
    <w:rsid w:val="0008101B"/>
    <w:rsid w:val="00081A85"/>
    <w:rsid w:val="00083FAC"/>
    <w:rsid w:val="0008439A"/>
    <w:rsid w:val="0008601D"/>
    <w:rsid w:val="00086B76"/>
    <w:rsid w:val="0009309F"/>
    <w:rsid w:val="000960EC"/>
    <w:rsid w:val="0009643E"/>
    <w:rsid w:val="00097157"/>
    <w:rsid w:val="000977A6"/>
    <w:rsid w:val="000A22DA"/>
    <w:rsid w:val="000A3194"/>
    <w:rsid w:val="000A49FB"/>
    <w:rsid w:val="000A58BB"/>
    <w:rsid w:val="000A6825"/>
    <w:rsid w:val="000B0368"/>
    <w:rsid w:val="000B03C8"/>
    <w:rsid w:val="000B37CE"/>
    <w:rsid w:val="000B38A9"/>
    <w:rsid w:val="000B516B"/>
    <w:rsid w:val="000B73FA"/>
    <w:rsid w:val="000B7891"/>
    <w:rsid w:val="000C1497"/>
    <w:rsid w:val="000C1DF3"/>
    <w:rsid w:val="000C39EA"/>
    <w:rsid w:val="000C5F47"/>
    <w:rsid w:val="000D0901"/>
    <w:rsid w:val="000D1762"/>
    <w:rsid w:val="000D425E"/>
    <w:rsid w:val="000D4FA4"/>
    <w:rsid w:val="000D6C04"/>
    <w:rsid w:val="000D7003"/>
    <w:rsid w:val="000E1106"/>
    <w:rsid w:val="000E14A0"/>
    <w:rsid w:val="000E2506"/>
    <w:rsid w:val="000E3026"/>
    <w:rsid w:val="000E6312"/>
    <w:rsid w:val="000E7528"/>
    <w:rsid w:val="000F0918"/>
    <w:rsid w:val="000F0F1A"/>
    <w:rsid w:val="000F2B65"/>
    <w:rsid w:val="000F39DD"/>
    <w:rsid w:val="000F62D2"/>
    <w:rsid w:val="000F67FC"/>
    <w:rsid w:val="001002E1"/>
    <w:rsid w:val="00100517"/>
    <w:rsid w:val="00102310"/>
    <w:rsid w:val="001024FD"/>
    <w:rsid w:val="001028C1"/>
    <w:rsid w:val="001035B8"/>
    <w:rsid w:val="001041EC"/>
    <w:rsid w:val="0010601F"/>
    <w:rsid w:val="00112211"/>
    <w:rsid w:val="0011374B"/>
    <w:rsid w:val="00115797"/>
    <w:rsid w:val="00115C46"/>
    <w:rsid w:val="00120FC8"/>
    <w:rsid w:val="0012121D"/>
    <w:rsid w:val="0012167A"/>
    <w:rsid w:val="00123110"/>
    <w:rsid w:val="0012416C"/>
    <w:rsid w:val="0012488D"/>
    <w:rsid w:val="001251BF"/>
    <w:rsid w:val="0012559D"/>
    <w:rsid w:val="00125816"/>
    <w:rsid w:val="00130A20"/>
    <w:rsid w:val="0013155A"/>
    <w:rsid w:val="00133670"/>
    <w:rsid w:val="00133A2F"/>
    <w:rsid w:val="001363D0"/>
    <w:rsid w:val="0014060A"/>
    <w:rsid w:val="00140CA5"/>
    <w:rsid w:val="00141B6B"/>
    <w:rsid w:val="00157AAD"/>
    <w:rsid w:val="001624ED"/>
    <w:rsid w:val="00164242"/>
    <w:rsid w:val="001663ED"/>
    <w:rsid w:val="00166B94"/>
    <w:rsid w:val="00166DC6"/>
    <w:rsid w:val="001719CE"/>
    <w:rsid w:val="001721E5"/>
    <w:rsid w:val="00172A5D"/>
    <w:rsid w:val="00173D8C"/>
    <w:rsid w:val="00180E12"/>
    <w:rsid w:val="00181267"/>
    <w:rsid w:val="00181F3D"/>
    <w:rsid w:val="001837AC"/>
    <w:rsid w:val="0018752E"/>
    <w:rsid w:val="00190D88"/>
    <w:rsid w:val="001A3A71"/>
    <w:rsid w:val="001A3A8B"/>
    <w:rsid w:val="001A578E"/>
    <w:rsid w:val="001A6F81"/>
    <w:rsid w:val="001B1160"/>
    <w:rsid w:val="001B19A8"/>
    <w:rsid w:val="001B1CDE"/>
    <w:rsid w:val="001B5015"/>
    <w:rsid w:val="001B57AC"/>
    <w:rsid w:val="001B65DE"/>
    <w:rsid w:val="001C1268"/>
    <w:rsid w:val="001C14DC"/>
    <w:rsid w:val="001C27AF"/>
    <w:rsid w:val="001C5668"/>
    <w:rsid w:val="001C6D8B"/>
    <w:rsid w:val="001D0DD1"/>
    <w:rsid w:val="001D22A7"/>
    <w:rsid w:val="001D34E7"/>
    <w:rsid w:val="001D55F2"/>
    <w:rsid w:val="001E2FC6"/>
    <w:rsid w:val="001E3BB7"/>
    <w:rsid w:val="001E6019"/>
    <w:rsid w:val="001E682A"/>
    <w:rsid w:val="001E6B5A"/>
    <w:rsid w:val="001E7402"/>
    <w:rsid w:val="001E7690"/>
    <w:rsid w:val="001F1783"/>
    <w:rsid w:val="001F1999"/>
    <w:rsid w:val="001F23D3"/>
    <w:rsid w:val="001F2F1C"/>
    <w:rsid w:val="001F4138"/>
    <w:rsid w:val="001F6127"/>
    <w:rsid w:val="0020028D"/>
    <w:rsid w:val="002005AD"/>
    <w:rsid w:val="00202320"/>
    <w:rsid w:val="0020456A"/>
    <w:rsid w:val="00207657"/>
    <w:rsid w:val="002111A0"/>
    <w:rsid w:val="002126D6"/>
    <w:rsid w:val="00212EB9"/>
    <w:rsid w:val="00214A94"/>
    <w:rsid w:val="00216A5C"/>
    <w:rsid w:val="00217706"/>
    <w:rsid w:val="00220E45"/>
    <w:rsid w:val="002215CA"/>
    <w:rsid w:val="00222AA4"/>
    <w:rsid w:val="002236B2"/>
    <w:rsid w:val="002241A1"/>
    <w:rsid w:val="00225C26"/>
    <w:rsid w:val="00226579"/>
    <w:rsid w:val="00227A62"/>
    <w:rsid w:val="00227E68"/>
    <w:rsid w:val="00230221"/>
    <w:rsid w:val="00232346"/>
    <w:rsid w:val="002340B1"/>
    <w:rsid w:val="00235512"/>
    <w:rsid w:val="00235615"/>
    <w:rsid w:val="00236D42"/>
    <w:rsid w:val="00241DD5"/>
    <w:rsid w:val="00242AFE"/>
    <w:rsid w:val="00244C0A"/>
    <w:rsid w:val="00245484"/>
    <w:rsid w:val="00245690"/>
    <w:rsid w:val="00245DA4"/>
    <w:rsid w:val="00250DD4"/>
    <w:rsid w:val="002546E7"/>
    <w:rsid w:val="00254D18"/>
    <w:rsid w:val="002567C5"/>
    <w:rsid w:val="00256A0D"/>
    <w:rsid w:val="002601D2"/>
    <w:rsid w:val="00260B5A"/>
    <w:rsid w:val="00261940"/>
    <w:rsid w:val="00262C14"/>
    <w:rsid w:val="00267888"/>
    <w:rsid w:val="002702CB"/>
    <w:rsid w:val="002724E8"/>
    <w:rsid w:val="00276C9F"/>
    <w:rsid w:val="0028017B"/>
    <w:rsid w:val="002803A5"/>
    <w:rsid w:val="002824F3"/>
    <w:rsid w:val="00282BF7"/>
    <w:rsid w:val="00283A8B"/>
    <w:rsid w:val="00286223"/>
    <w:rsid w:val="002877D2"/>
    <w:rsid w:val="00292AC4"/>
    <w:rsid w:val="00293EDD"/>
    <w:rsid w:val="00294B6B"/>
    <w:rsid w:val="0029558E"/>
    <w:rsid w:val="00296867"/>
    <w:rsid w:val="00296D1F"/>
    <w:rsid w:val="002972A4"/>
    <w:rsid w:val="0029745E"/>
    <w:rsid w:val="00297D4B"/>
    <w:rsid w:val="002A3E8A"/>
    <w:rsid w:val="002A4125"/>
    <w:rsid w:val="002A4501"/>
    <w:rsid w:val="002A4D88"/>
    <w:rsid w:val="002A74DC"/>
    <w:rsid w:val="002B04B7"/>
    <w:rsid w:val="002B1553"/>
    <w:rsid w:val="002B2450"/>
    <w:rsid w:val="002B3B7C"/>
    <w:rsid w:val="002B48DC"/>
    <w:rsid w:val="002B6AC4"/>
    <w:rsid w:val="002B6C92"/>
    <w:rsid w:val="002B6CA9"/>
    <w:rsid w:val="002B7940"/>
    <w:rsid w:val="002C1BE3"/>
    <w:rsid w:val="002C4A7E"/>
    <w:rsid w:val="002D0CC3"/>
    <w:rsid w:val="002D1309"/>
    <w:rsid w:val="002D1CD2"/>
    <w:rsid w:val="002D4D42"/>
    <w:rsid w:val="002D5B3F"/>
    <w:rsid w:val="002D6B6D"/>
    <w:rsid w:val="002E7008"/>
    <w:rsid w:val="002E761F"/>
    <w:rsid w:val="002F1CBF"/>
    <w:rsid w:val="002F3895"/>
    <w:rsid w:val="002F4721"/>
    <w:rsid w:val="002F4CE5"/>
    <w:rsid w:val="002F62D4"/>
    <w:rsid w:val="002F6CA9"/>
    <w:rsid w:val="002F705F"/>
    <w:rsid w:val="002F7103"/>
    <w:rsid w:val="002F7F40"/>
    <w:rsid w:val="0030050F"/>
    <w:rsid w:val="00300655"/>
    <w:rsid w:val="00301B32"/>
    <w:rsid w:val="003025A5"/>
    <w:rsid w:val="00305172"/>
    <w:rsid w:val="00307450"/>
    <w:rsid w:val="00307733"/>
    <w:rsid w:val="00310C9E"/>
    <w:rsid w:val="0031620D"/>
    <w:rsid w:val="003163F9"/>
    <w:rsid w:val="00317FE9"/>
    <w:rsid w:val="0032608C"/>
    <w:rsid w:val="00326DF3"/>
    <w:rsid w:val="003270B4"/>
    <w:rsid w:val="0033012E"/>
    <w:rsid w:val="003332C0"/>
    <w:rsid w:val="00333A98"/>
    <w:rsid w:val="00335575"/>
    <w:rsid w:val="00337662"/>
    <w:rsid w:val="00341D1D"/>
    <w:rsid w:val="00342567"/>
    <w:rsid w:val="003432C1"/>
    <w:rsid w:val="00344C0A"/>
    <w:rsid w:val="00344D4F"/>
    <w:rsid w:val="00347C19"/>
    <w:rsid w:val="00357AC7"/>
    <w:rsid w:val="0036503B"/>
    <w:rsid w:val="003658DA"/>
    <w:rsid w:val="00365C20"/>
    <w:rsid w:val="00366B9B"/>
    <w:rsid w:val="00371CA7"/>
    <w:rsid w:val="003745CD"/>
    <w:rsid w:val="003768CD"/>
    <w:rsid w:val="003778DA"/>
    <w:rsid w:val="00381001"/>
    <w:rsid w:val="00383F37"/>
    <w:rsid w:val="00384FCF"/>
    <w:rsid w:val="00387A55"/>
    <w:rsid w:val="00387B32"/>
    <w:rsid w:val="003901A1"/>
    <w:rsid w:val="0039210F"/>
    <w:rsid w:val="003930F9"/>
    <w:rsid w:val="003934A3"/>
    <w:rsid w:val="00394D35"/>
    <w:rsid w:val="00395DB8"/>
    <w:rsid w:val="003961DC"/>
    <w:rsid w:val="00396E8F"/>
    <w:rsid w:val="003A0023"/>
    <w:rsid w:val="003A2A38"/>
    <w:rsid w:val="003A3EFD"/>
    <w:rsid w:val="003A5496"/>
    <w:rsid w:val="003A5AE5"/>
    <w:rsid w:val="003A67A7"/>
    <w:rsid w:val="003B146B"/>
    <w:rsid w:val="003B246D"/>
    <w:rsid w:val="003B3E9B"/>
    <w:rsid w:val="003B466F"/>
    <w:rsid w:val="003B5BC7"/>
    <w:rsid w:val="003B5F9E"/>
    <w:rsid w:val="003B606F"/>
    <w:rsid w:val="003B6E3F"/>
    <w:rsid w:val="003C1C96"/>
    <w:rsid w:val="003C4190"/>
    <w:rsid w:val="003C5505"/>
    <w:rsid w:val="003C724E"/>
    <w:rsid w:val="003C7B6E"/>
    <w:rsid w:val="003D0E2D"/>
    <w:rsid w:val="003D2D17"/>
    <w:rsid w:val="003D47B4"/>
    <w:rsid w:val="003D4930"/>
    <w:rsid w:val="003E1CF5"/>
    <w:rsid w:val="003E575D"/>
    <w:rsid w:val="003E69E1"/>
    <w:rsid w:val="003F0031"/>
    <w:rsid w:val="003F0B0B"/>
    <w:rsid w:val="003F2143"/>
    <w:rsid w:val="003F49B2"/>
    <w:rsid w:val="003F49D7"/>
    <w:rsid w:val="003F5C60"/>
    <w:rsid w:val="003F6D02"/>
    <w:rsid w:val="003F7152"/>
    <w:rsid w:val="003F7EB7"/>
    <w:rsid w:val="00402126"/>
    <w:rsid w:val="00402775"/>
    <w:rsid w:val="004033A1"/>
    <w:rsid w:val="004045E2"/>
    <w:rsid w:val="004054F9"/>
    <w:rsid w:val="00405B84"/>
    <w:rsid w:val="0040692A"/>
    <w:rsid w:val="00413644"/>
    <w:rsid w:val="0041445D"/>
    <w:rsid w:val="00416A9A"/>
    <w:rsid w:val="004170EF"/>
    <w:rsid w:val="00421336"/>
    <w:rsid w:val="00422C98"/>
    <w:rsid w:val="00423BD5"/>
    <w:rsid w:val="004266F8"/>
    <w:rsid w:val="00426C0F"/>
    <w:rsid w:val="00430146"/>
    <w:rsid w:val="00432C36"/>
    <w:rsid w:val="00432E5E"/>
    <w:rsid w:val="00434C7F"/>
    <w:rsid w:val="00436599"/>
    <w:rsid w:val="004377FC"/>
    <w:rsid w:val="00440444"/>
    <w:rsid w:val="00442A2C"/>
    <w:rsid w:val="00443B2F"/>
    <w:rsid w:val="0044655E"/>
    <w:rsid w:val="0045072E"/>
    <w:rsid w:val="00451C37"/>
    <w:rsid w:val="004600D8"/>
    <w:rsid w:val="00461A30"/>
    <w:rsid w:val="00461DCD"/>
    <w:rsid w:val="0046280E"/>
    <w:rsid w:val="00462DFB"/>
    <w:rsid w:val="004641F8"/>
    <w:rsid w:val="0046691F"/>
    <w:rsid w:val="00466ACC"/>
    <w:rsid w:val="00467255"/>
    <w:rsid w:val="00467394"/>
    <w:rsid w:val="00470157"/>
    <w:rsid w:val="00471F86"/>
    <w:rsid w:val="0047545A"/>
    <w:rsid w:val="004754B8"/>
    <w:rsid w:val="00480882"/>
    <w:rsid w:val="00486778"/>
    <w:rsid w:val="00486EE6"/>
    <w:rsid w:val="004873DA"/>
    <w:rsid w:val="00490533"/>
    <w:rsid w:val="00490D98"/>
    <w:rsid w:val="00491FE3"/>
    <w:rsid w:val="00492167"/>
    <w:rsid w:val="00492357"/>
    <w:rsid w:val="004926FB"/>
    <w:rsid w:val="0049384E"/>
    <w:rsid w:val="004951E5"/>
    <w:rsid w:val="00496569"/>
    <w:rsid w:val="00496E38"/>
    <w:rsid w:val="00497409"/>
    <w:rsid w:val="00497575"/>
    <w:rsid w:val="004A12EA"/>
    <w:rsid w:val="004A19CE"/>
    <w:rsid w:val="004A2854"/>
    <w:rsid w:val="004A4237"/>
    <w:rsid w:val="004A6BAD"/>
    <w:rsid w:val="004B027F"/>
    <w:rsid w:val="004B1090"/>
    <w:rsid w:val="004B3034"/>
    <w:rsid w:val="004B357F"/>
    <w:rsid w:val="004B6FE1"/>
    <w:rsid w:val="004B7714"/>
    <w:rsid w:val="004C031D"/>
    <w:rsid w:val="004C0628"/>
    <w:rsid w:val="004C11DF"/>
    <w:rsid w:val="004C1665"/>
    <w:rsid w:val="004C2BEF"/>
    <w:rsid w:val="004C2D0E"/>
    <w:rsid w:val="004C4FD4"/>
    <w:rsid w:val="004C5D10"/>
    <w:rsid w:val="004C72E1"/>
    <w:rsid w:val="004D0161"/>
    <w:rsid w:val="004D5CC4"/>
    <w:rsid w:val="004D63A9"/>
    <w:rsid w:val="004D6709"/>
    <w:rsid w:val="004D76C9"/>
    <w:rsid w:val="004D7F8B"/>
    <w:rsid w:val="004E6A88"/>
    <w:rsid w:val="004E7B67"/>
    <w:rsid w:val="004F0A49"/>
    <w:rsid w:val="004F11FB"/>
    <w:rsid w:val="004F1878"/>
    <w:rsid w:val="004F3A46"/>
    <w:rsid w:val="004F55E3"/>
    <w:rsid w:val="00501A7D"/>
    <w:rsid w:val="00504371"/>
    <w:rsid w:val="00505B8A"/>
    <w:rsid w:val="005078B8"/>
    <w:rsid w:val="005079FD"/>
    <w:rsid w:val="00514A41"/>
    <w:rsid w:val="00520FF8"/>
    <w:rsid w:val="005211EF"/>
    <w:rsid w:val="00530902"/>
    <w:rsid w:val="005322C0"/>
    <w:rsid w:val="0053561A"/>
    <w:rsid w:val="00536151"/>
    <w:rsid w:val="00540CA8"/>
    <w:rsid w:val="005423DE"/>
    <w:rsid w:val="00543250"/>
    <w:rsid w:val="00545885"/>
    <w:rsid w:val="00547B75"/>
    <w:rsid w:val="00547BC4"/>
    <w:rsid w:val="00547FAA"/>
    <w:rsid w:val="005515D2"/>
    <w:rsid w:val="00551D90"/>
    <w:rsid w:val="00553E3F"/>
    <w:rsid w:val="00554202"/>
    <w:rsid w:val="005547E0"/>
    <w:rsid w:val="00554D0B"/>
    <w:rsid w:val="00561CB0"/>
    <w:rsid w:val="00566D90"/>
    <w:rsid w:val="00570A4A"/>
    <w:rsid w:val="005716C5"/>
    <w:rsid w:val="0057188E"/>
    <w:rsid w:val="005722D7"/>
    <w:rsid w:val="00573084"/>
    <w:rsid w:val="00576796"/>
    <w:rsid w:val="00583CF0"/>
    <w:rsid w:val="00584816"/>
    <w:rsid w:val="0058532C"/>
    <w:rsid w:val="00585D83"/>
    <w:rsid w:val="0059152A"/>
    <w:rsid w:val="00591982"/>
    <w:rsid w:val="00591C35"/>
    <w:rsid w:val="0059246B"/>
    <w:rsid w:val="00594484"/>
    <w:rsid w:val="005959E7"/>
    <w:rsid w:val="005971F7"/>
    <w:rsid w:val="00597AE7"/>
    <w:rsid w:val="005A2CEE"/>
    <w:rsid w:val="005A4182"/>
    <w:rsid w:val="005A4649"/>
    <w:rsid w:val="005A48B5"/>
    <w:rsid w:val="005A4F60"/>
    <w:rsid w:val="005A5D5D"/>
    <w:rsid w:val="005A5F88"/>
    <w:rsid w:val="005B03FA"/>
    <w:rsid w:val="005B09F4"/>
    <w:rsid w:val="005B7C89"/>
    <w:rsid w:val="005B7CD0"/>
    <w:rsid w:val="005C15BC"/>
    <w:rsid w:val="005C3358"/>
    <w:rsid w:val="005C4C81"/>
    <w:rsid w:val="005D30B4"/>
    <w:rsid w:val="005D38F2"/>
    <w:rsid w:val="005D5697"/>
    <w:rsid w:val="005D62F0"/>
    <w:rsid w:val="005E0735"/>
    <w:rsid w:val="005E1205"/>
    <w:rsid w:val="005E2342"/>
    <w:rsid w:val="005E2735"/>
    <w:rsid w:val="005F239A"/>
    <w:rsid w:val="005F41AC"/>
    <w:rsid w:val="005F510F"/>
    <w:rsid w:val="005F71FC"/>
    <w:rsid w:val="00600083"/>
    <w:rsid w:val="00601098"/>
    <w:rsid w:val="0060146B"/>
    <w:rsid w:val="00601BE2"/>
    <w:rsid w:val="00602D71"/>
    <w:rsid w:val="00603844"/>
    <w:rsid w:val="00604BF1"/>
    <w:rsid w:val="0060561B"/>
    <w:rsid w:val="006104C5"/>
    <w:rsid w:val="0061210C"/>
    <w:rsid w:val="0061441F"/>
    <w:rsid w:val="00616A96"/>
    <w:rsid w:val="006170EA"/>
    <w:rsid w:val="00621E8D"/>
    <w:rsid w:val="00622DC4"/>
    <w:rsid w:val="00625F70"/>
    <w:rsid w:val="00630046"/>
    <w:rsid w:val="006318CB"/>
    <w:rsid w:val="00632516"/>
    <w:rsid w:val="00632BB7"/>
    <w:rsid w:val="006330C5"/>
    <w:rsid w:val="006332F2"/>
    <w:rsid w:val="00642E03"/>
    <w:rsid w:val="006430C5"/>
    <w:rsid w:val="0064754B"/>
    <w:rsid w:val="00651664"/>
    <w:rsid w:val="00652CBF"/>
    <w:rsid w:val="00660B6C"/>
    <w:rsid w:val="006614F6"/>
    <w:rsid w:val="00662367"/>
    <w:rsid w:val="00662C2F"/>
    <w:rsid w:val="006630BC"/>
    <w:rsid w:val="00666CF3"/>
    <w:rsid w:val="0066765F"/>
    <w:rsid w:val="00670746"/>
    <w:rsid w:val="00670D26"/>
    <w:rsid w:val="006711A0"/>
    <w:rsid w:val="006737A3"/>
    <w:rsid w:val="00673CC8"/>
    <w:rsid w:val="00677D6C"/>
    <w:rsid w:val="00681B05"/>
    <w:rsid w:val="00681F97"/>
    <w:rsid w:val="00683DA0"/>
    <w:rsid w:val="00683E61"/>
    <w:rsid w:val="00684A8E"/>
    <w:rsid w:val="00685DC4"/>
    <w:rsid w:val="00687799"/>
    <w:rsid w:val="006903D0"/>
    <w:rsid w:val="006905D7"/>
    <w:rsid w:val="00693FA3"/>
    <w:rsid w:val="0069687F"/>
    <w:rsid w:val="006A22EF"/>
    <w:rsid w:val="006A4298"/>
    <w:rsid w:val="006A4E60"/>
    <w:rsid w:val="006A5A8E"/>
    <w:rsid w:val="006B51D6"/>
    <w:rsid w:val="006B63FD"/>
    <w:rsid w:val="006C031B"/>
    <w:rsid w:val="006C0DF8"/>
    <w:rsid w:val="006C16B9"/>
    <w:rsid w:val="006C24CD"/>
    <w:rsid w:val="006C3D51"/>
    <w:rsid w:val="006C4668"/>
    <w:rsid w:val="006C6EEF"/>
    <w:rsid w:val="006C7711"/>
    <w:rsid w:val="006C79C9"/>
    <w:rsid w:val="006D4A69"/>
    <w:rsid w:val="006D558D"/>
    <w:rsid w:val="006D6ADF"/>
    <w:rsid w:val="006D70D2"/>
    <w:rsid w:val="006E0E25"/>
    <w:rsid w:val="006E34E7"/>
    <w:rsid w:val="006F1DD5"/>
    <w:rsid w:val="006F4AD1"/>
    <w:rsid w:val="006F5545"/>
    <w:rsid w:val="00701AAA"/>
    <w:rsid w:val="00703A67"/>
    <w:rsid w:val="00706473"/>
    <w:rsid w:val="0071041B"/>
    <w:rsid w:val="00711D4D"/>
    <w:rsid w:val="00713F2B"/>
    <w:rsid w:val="00713FD3"/>
    <w:rsid w:val="007156D3"/>
    <w:rsid w:val="00715C81"/>
    <w:rsid w:val="00717FEA"/>
    <w:rsid w:val="00721DA5"/>
    <w:rsid w:val="0072353B"/>
    <w:rsid w:val="00723E80"/>
    <w:rsid w:val="00724494"/>
    <w:rsid w:val="00724A73"/>
    <w:rsid w:val="00725881"/>
    <w:rsid w:val="0073344A"/>
    <w:rsid w:val="007418E7"/>
    <w:rsid w:val="00742A74"/>
    <w:rsid w:val="00743DFB"/>
    <w:rsid w:val="00744137"/>
    <w:rsid w:val="00746041"/>
    <w:rsid w:val="00746671"/>
    <w:rsid w:val="00747B81"/>
    <w:rsid w:val="00750A3F"/>
    <w:rsid w:val="00751E76"/>
    <w:rsid w:val="00752C3A"/>
    <w:rsid w:val="00752E2F"/>
    <w:rsid w:val="007533B4"/>
    <w:rsid w:val="0075432F"/>
    <w:rsid w:val="00754E31"/>
    <w:rsid w:val="00756B73"/>
    <w:rsid w:val="007604E9"/>
    <w:rsid w:val="00761921"/>
    <w:rsid w:val="007631AF"/>
    <w:rsid w:val="00764033"/>
    <w:rsid w:val="007652E6"/>
    <w:rsid w:val="00772353"/>
    <w:rsid w:val="00783649"/>
    <w:rsid w:val="00783897"/>
    <w:rsid w:val="00784D85"/>
    <w:rsid w:val="007852C7"/>
    <w:rsid w:val="007857CE"/>
    <w:rsid w:val="00785A0B"/>
    <w:rsid w:val="00786931"/>
    <w:rsid w:val="00791347"/>
    <w:rsid w:val="00792BDF"/>
    <w:rsid w:val="007936C1"/>
    <w:rsid w:val="00796AA7"/>
    <w:rsid w:val="007A400C"/>
    <w:rsid w:val="007A7CA6"/>
    <w:rsid w:val="007B154E"/>
    <w:rsid w:val="007B1B33"/>
    <w:rsid w:val="007B1D49"/>
    <w:rsid w:val="007B658C"/>
    <w:rsid w:val="007B694E"/>
    <w:rsid w:val="007B7089"/>
    <w:rsid w:val="007C0D88"/>
    <w:rsid w:val="007C1CB7"/>
    <w:rsid w:val="007C5108"/>
    <w:rsid w:val="007C5D96"/>
    <w:rsid w:val="007D3412"/>
    <w:rsid w:val="007D4973"/>
    <w:rsid w:val="007D5390"/>
    <w:rsid w:val="007D7D6F"/>
    <w:rsid w:val="007D7EC6"/>
    <w:rsid w:val="007E3A0F"/>
    <w:rsid w:val="007E48A4"/>
    <w:rsid w:val="007E5167"/>
    <w:rsid w:val="007F2F52"/>
    <w:rsid w:val="007F3BD2"/>
    <w:rsid w:val="007F5D62"/>
    <w:rsid w:val="007F66CE"/>
    <w:rsid w:val="007F7199"/>
    <w:rsid w:val="007F7354"/>
    <w:rsid w:val="007F7422"/>
    <w:rsid w:val="00802F4E"/>
    <w:rsid w:val="008051B7"/>
    <w:rsid w:val="00807A68"/>
    <w:rsid w:val="00810DA5"/>
    <w:rsid w:val="008112AC"/>
    <w:rsid w:val="008140A3"/>
    <w:rsid w:val="008153C1"/>
    <w:rsid w:val="00815867"/>
    <w:rsid w:val="00823A50"/>
    <w:rsid w:val="00823F14"/>
    <w:rsid w:val="008262F1"/>
    <w:rsid w:val="00826B0A"/>
    <w:rsid w:val="00831606"/>
    <w:rsid w:val="00833B9A"/>
    <w:rsid w:val="0083493E"/>
    <w:rsid w:val="0083548B"/>
    <w:rsid w:val="008378AC"/>
    <w:rsid w:val="00841BC5"/>
    <w:rsid w:val="00843BEB"/>
    <w:rsid w:val="008457EB"/>
    <w:rsid w:val="00845CD2"/>
    <w:rsid w:val="00845FD3"/>
    <w:rsid w:val="00846E9D"/>
    <w:rsid w:val="008474D8"/>
    <w:rsid w:val="00850714"/>
    <w:rsid w:val="00852ED5"/>
    <w:rsid w:val="0085358A"/>
    <w:rsid w:val="0085384E"/>
    <w:rsid w:val="00853BD4"/>
    <w:rsid w:val="00854A82"/>
    <w:rsid w:val="0086037B"/>
    <w:rsid w:val="00862DFA"/>
    <w:rsid w:val="00865510"/>
    <w:rsid w:val="00866201"/>
    <w:rsid w:val="008709C9"/>
    <w:rsid w:val="0087587B"/>
    <w:rsid w:val="00877CC8"/>
    <w:rsid w:val="0088089A"/>
    <w:rsid w:val="00881977"/>
    <w:rsid w:val="0088202C"/>
    <w:rsid w:val="00882890"/>
    <w:rsid w:val="00884B6B"/>
    <w:rsid w:val="00884BCD"/>
    <w:rsid w:val="00887F5D"/>
    <w:rsid w:val="008933C6"/>
    <w:rsid w:val="00894816"/>
    <w:rsid w:val="008948BD"/>
    <w:rsid w:val="00894A5A"/>
    <w:rsid w:val="00895D1D"/>
    <w:rsid w:val="008966AA"/>
    <w:rsid w:val="00896B43"/>
    <w:rsid w:val="00896D51"/>
    <w:rsid w:val="00897555"/>
    <w:rsid w:val="008A3C98"/>
    <w:rsid w:val="008A42D1"/>
    <w:rsid w:val="008A6EF9"/>
    <w:rsid w:val="008A7DCA"/>
    <w:rsid w:val="008B2316"/>
    <w:rsid w:val="008B2C21"/>
    <w:rsid w:val="008B744E"/>
    <w:rsid w:val="008C1EA2"/>
    <w:rsid w:val="008C2597"/>
    <w:rsid w:val="008C2F09"/>
    <w:rsid w:val="008C393C"/>
    <w:rsid w:val="008C4AF9"/>
    <w:rsid w:val="008C61A7"/>
    <w:rsid w:val="008D1548"/>
    <w:rsid w:val="008D1596"/>
    <w:rsid w:val="008D3374"/>
    <w:rsid w:val="008D4454"/>
    <w:rsid w:val="008D7546"/>
    <w:rsid w:val="008E106A"/>
    <w:rsid w:val="008E7E3B"/>
    <w:rsid w:val="008F0781"/>
    <w:rsid w:val="008F0BF3"/>
    <w:rsid w:val="008F2985"/>
    <w:rsid w:val="008F2C76"/>
    <w:rsid w:val="008F398D"/>
    <w:rsid w:val="008F3B00"/>
    <w:rsid w:val="008F4C3A"/>
    <w:rsid w:val="008F5287"/>
    <w:rsid w:val="00900CD3"/>
    <w:rsid w:val="0090361A"/>
    <w:rsid w:val="00905314"/>
    <w:rsid w:val="00906145"/>
    <w:rsid w:val="00907E1C"/>
    <w:rsid w:val="00911137"/>
    <w:rsid w:val="00912497"/>
    <w:rsid w:val="00913603"/>
    <w:rsid w:val="00913A68"/>
    <w:rsid w:val="00914081"/>
    <w:rsid w:val="0091513C"/>
    <w:rsid w:val="00920690"/>
    <w:rsid w:val="009220E7"/>
    <w:rsid w:val="00925173"/>
    <w:rsid w:val="00925530"/>
    <w:rsid w:val="00925585"/>
    <w:rsid w:val="00925B80"/>
    <w:rsid w:val="009311F7"/>
    <w:rsid w:val="00931367"/>
    <w:rsid w:val="00931423"/>
    <w:rsid w:val="0093422B"/>
    <w:rsid w:val="00935434"/>
    <w:rsid w:val="009366B3"/>
    <w:rsid w:val="00940C45"/>
    <w:rsid w:val="00943E09"/>
    <w:rsid w:val="00950B21"/>
    <w:rsid w:val="009539B7"/>
    <w:rsid w:val="00954FCD"/>
    <w:rsid w:val="00956189"/>
    <w:rsid w:val="0095683B"/>
    <w:rsid w:val="009573A8"/>
    <w:rsid w:val="009622C0"/>
    <w:rsid w:val="00963401"/>
    <w:rsid w:val="00966B5E"/>
    <w:rsid w:val="009706C6"/>
    <w:rsid w:val="00971095"/>
    <w:rsid w:val="009773D7"/>
    <w:rsid w:val="00977575"/>
    <w:rsid w:val="00982EB8"/>
    <w:rsid w:val="009846F9"/>
    <w:rsid w:val="00985B9B"/>
    <w:rsid w:val="00987755"/>
    <w:rsid w:val="00990161"/>
    <w:rsid w:val="00994B69"/>
    <w:rsid w:val="00997C77"/>
    <w:rsid w:val="009A2223"/>
    <w:rsid w:val="009A3DBD"/>
    <w:rsid w:val="009A4300"/>
    <w:rsid w:val="009A4D2E"/>
    <w:rsid w:val="009A6955"/>
    <w:rsid w:val="009B65EE"/>
    <w:rsid w:val="009B6FA0"/>
    <w:rsid w:val="009C07A5"/>
    <w:rsid w:val="009C4DC0"/>
    <w:rsid w:val="009D35B0"/>
    <w:rsid w:val="009D4236"/>
    <w:rsid w:val="009D45E4"/>
    <w:rsid w:val="009D55B0"/>
    <w:rsid w:val="009D5807"/>
    <w:rsid w:val="009E25F1"/>
    <w:rsid w:val="009E2785"/>
    <w:rsid w:val="009E4B56"/>
    <w:rsid w:val="009E4B7D"/>
    <w:rsid w:val="009E5096"/>
    <w:rsid w:val="009E5301"/>
    <w:rsid w:val="009E59C3"/>
    <w:rsid w:val="009E6061"/>
    <w:rsid w:val="009F014C"/>
    <w:rsid w:val="009F13E0"/>
    <w:rsid w:val="009F1B20"/>
    <w:rsid w:val="009F7744"/>
    <w:rsid w:val="00A0332C"/>
    <w:rsid w:val="00A04F7A"/>
    <w:rsid w:val="00A12290"/>
    <w:rsid w:val="00A12A6C"/>
    <w:rsid w:val="00A12E9A"/>
    <w:rsid w:val="00A13BBB"/>
    <w:rsid w:val="00A148D0"/>
    <w:rsid w:val="00A1576B"/>
    <w:rsid w:val="00A16F9E"/>
    <w:rsid w:val="00A20605"/>
    <w:rsid w:val="00A22140"/>
    <w:rsid w:val="00A232E5"/>
    <w:rsid w:val="00A24DE0"/>
    <w:rsid w:val="00A24EC9"/>
    <w:rsid w:val="00A2524D"/>
    <w:rsid w:val="00A257EE"/>
    <w:rsid w:val="00A26E71"/>
    <w:rsid w:val="00A30232"/>
    <w:rsid w:val="00A30BDA"/>
    <w:rsid w:val="00A30F28"/>
    <w:rsid w:val="00A321E5"/>
    <w:rsid w:val="00A3230C"/>
    <w:rsid w:val="00A40C69"/>
    <w:rsid w:val="00A44A2F"/>
    <w:rsid w:val="00A45D8C"/>
    <w:rsid w:val="00A46987"/>
    <w:rsid w:val="00A4718E"/>
    <w:rsid w:val="00A52795"/>
    <w:rsid w:val="00A529B6"/>
    <w:rsid w:val="00A5325E"/>
    <w:rsid w:val="00A5623D"/>
    <w:rsid w:val="00A60DF1"/>
    <w:rsid w:val="00A6157D"/>
    <w:rsid w:val="00A62C2C"/>
    <w:rsid w:val="00A655F4"/>
    <w:rsid w:val="00A65B56"/>
    <w:rsid w:val="00A67A48"/>
    <w:rsid w:val="00A70981"/>
    <w:rsid w:val="00A70D94"/>
    <w:rsid w:val="00A7228B"/>
    <w:rsid w:val="00A738DB"/>
    <w:rsid w:val="00A7645E"/>
    <w:rsid w:val="00A76F88"/>
    <w:rsid w:val="00A77556"/>
    <w:rsid w:val="00A800AB"/>
    <w:rsid w:val="00A800B7"/>
    <w:rsid w:val="00A8429E"/>
    <w:rsid w:val="00A84542"/>
    <w:rsid w:val="00A9082E"/>
    <w:rsid w:val="00A92531"/>
    <w:rsid w:val="00A93674"/>
    <w:rsid w:val="00A9693F"/>
    <w:rsid w:val="00A97CF6"/>
    <w:rsid w:val="00AA0F1B"/>
    <w:rsid w:val="00AA1C2E"/>
    <w:rsid w:val="00AA1D3C"/>
    <w:rsid w:val="00AA5824"/>
    <w:rsid w:val="00AB0E16"/>
    <w:rsid w:val="00AB2FB8"/>
    <w:rsid w:val="00AB3258"/>
    <w:rsid w:val="00AB3C1D"/>
    <w:rsid w:val="00AB42C1"/>
    <w:rsid w:val="00AB4C72"/>
    <w:rsid w:val="00AB529D"/>
    <w:rsid w:val="00AB607D"/>
    <w:rsid w:val="00AB621D"/>
    <w:rsid w:val="00AB7D30"/>
    <w:rsid w:val="00AC024A"/>
    <w:rsid w:val="00AC1C1D"/>
    <w:rsid w:val="00AC5CFA"/>
    <w:rsid w:val="00AC695D"/>
    <w:rsid w:val="00AC6B22"/>
    <w:rsid w:val="00AC79EC"/>
    <w:rsid w:val="00AD1D04"/>
    <w:rsid w:val="00AD2362"/>
    <w:rsid w:val="00AD43E7"/>
    <w:rsid w:val="00AD59A8"/>
    <w:rsid w:val="00AD60AF"/>
    <w:rsid w:val="00AD73A6"/>
    <w:rsid w:val="00AE2392"/>
    <w:rsid w:val="00AE2454"/>
    <w:rsid w:val="00AE37F7"/>
    <w:rsid w:val="00AE3AAB"/>
    <w:rsid w:val="00AE456C"/>
    <w:rsid w:val="00AE77F1"/>
    <w:rsid w:val="00AE7D0B"/>
    <w:rsid w:val="00AE7D4C"/>
    <w:rsid w:val="00AF1EED"/>
    <w:rsid w:val="00AF2AB6"/>
    <w:rsid w:val="00AF2B80"/>
    <w:rsid w:val="00AF4A03"/>
    <w:rsid w:val="00AF4ECA"/>
    <w:rsid w:val="00AF5836"/>
    <w:rsid w:val="00B037C0"/>
    <w:rsid w:val="00B10D5A"/>
    <w:rsid w:val="00B17DAF"/>
    <w:rsid w:val="00B21517"/>
    <w:rsid w:val="00B241B7"/>
    <w:rsid w:val="00B277E9"/>
    <w:rsid w:val="00B31FC7"/>
    <w:rsid w:val="00B345E7"/>
    <w:rsid w:val="00B45F8F"/>
    <w:rsid w:val="00B53759"/>
    <w:rsid w:val="00B552CE"/>
    <w:rsid w:val="00B553C6"/>
    <w:rsid w:val="00B56632"/>
    <w:rsid w:val="00B630B2"/>
    <w:rsid w:val="00B63716"/>
    <w:rsid w:val="00B6634B"/>
    <w:rsid w:val="00B6680B"/>
    <w:rsid w:val="00B66CF8"/>
    <w:rsid w:val="00B67553"/>
    <w:rsid w:val="00B70166"/>
    <w:rsid w:val="00B74E81"/>
    <w:rsid w:val="00B74F36"/>
    <w:rsid w:val="00B75524"/>
    <w:rsid w:val="00B75997"/>
    <w:rsid w:val="00B761AE"/>
    <w:rsid w:val="00B76585"/>
    <w:rsid w:val="00B8150A"/>
    <w:rsid w:val="00B821F6"/>
    <w:rsid w:val="00B827A3"/>
    <w:rsid w:val="00B83A93"/>
    <w:rsid w:val="00B84ACA"/>
    <w:rsid w:val="00B86CCD"/>
    <w:rsid w:val="00B93D08"/>
    <w:rsid w:val="00B94580"/>
    <w:rsid w:val="00B96916"/>
    <w:rsid w:val="00BA033D"/>
    <w:rsid w:val="00BA03BF"/>
    <w:rsid w:val="00BA1443"/>
    <w:rsid w:val="00BA59E4"/>
    <w:rsid w:val="00BB081E"/>
    <w:rsid w:val="00BB13C8"/>
    <w:rsid w:val="00BB6BF2"/>
    <w:rsid w:val="00BC09F7"/>
    <w:rsid w:val="00BC14E9"/>
    <w:rsid w:val="00BC50FC"/>
    <w:rsid w:val="00BC633C"/>
    <w:rsid w:val="00BD4546"/>
    <w:rsid w:val="00BD462A"/>
    <w:rsid w:val="00BD555B"/>
    <w:rsid w:val="00BD70D8"/>
    <w:rsid w:val="00BE0F35"/>
    <w:rsid w:val="00BE1875"/>
    <w:rsid w:val="00BE2A41"/>
    <w:rsid w:val="00BE3BF9"/>
    <w:rsid w:val="00BE5B19"/>
    <w:rsid w:val="00BE628A"/>
    <w:rsid w:val="00BE643C"/>
    <w:rsid w:val="00BE6464"/>
    <w:rsid w:val="00BF21FA"/>
    <w:rsid w:val="00BF2277"/>
    <w:rsid w:val="00BF287A"/>
    <w:rsid w:val="00BF3A39"/>
    <w:rsid w:val="00BF3C84"/>
    <w:rsid w:val="00BF3E31"/>
    <w:rsid w:val="00BF420C"/>
    <w:rsid w:val="00BF4A79"/>
    <w:rsid w:val="00BF4EB0"/>
    <w:rsid w:val="00BF6C45"/>
    <w:rsid w:val="00C00107"/>
    <w:rsid w:val="00C00C72"/>
    <w:rsid w:val="00C02CF6"/>
    <w:rsid w:val="00C036B7"/>
    <w:rsid w:val="00C03FA7"/>
    <w:rsid w:val="00C0428F"/>
    <w:rsid w:val="00C044A3"/>
    <w:rsid w:val="00C0486E"/>
    <w:rsid w:val="00C05D9C"/>
    <w:rsid w:val="00C06786"/>
    <w:rsid w:val="00C06AB4"/>
    <w:rsid w:val="00C06D05"/>
    <w:rsid w:val="00C1200A"/>
    <w:rsid w:val="00C12053"/>
    <w:rsid w:val="00C212EC"/>
    <w:rsid w:val="00C21D89"/>
    <w:rsid w:val="00C23850"/>
    <w:rsid w:val="00C242A2"/>
    <w:rsid w:val="00C25001"/>
    <w:rsid w:val="00C27958"/>
    <w:rsid w:val="00C27DD2"/>
    <w:rsid w:val="00C31245"/>
    <w:rsid w:val="00C334BE"/>
    <w:rsid w:val="00C33C18"/>
    <w:rsid w:val="00C3427F"/>
    <w:rsid w:val="00C34A30"/>
    <w:rsid w:val="00C3616A"/>
    <w:rsid w:val="00C36369"/>
    <w:rsid w:val="00C363F6"/>
    <w:rsid w:val="00C4127E"/>
    <w:rsid w:val="00C4342F"/>
    <w:rsid w:val="00C44B88"/>
    <w:rsid w:val="00C44C1B"/>
    <w:rsid w:val="00C45725"/>
    <w:rsid w:val="00C47863"/>
    <w:rsid w:val="00C47ED1"/>
    <w:rsid w:val="00C51BAD"/>
    <w:rsid w:val="00C5388B"/>
    <w:rsid w:val="00C545BE"/>
    <w:rsid w:val="00C54C9C"/>
    <w:rsid w:val="00C56F38"/>
    <w:rsid w:val="00C622EC"/>
    <w:rsid w:val="00C6452E"/>
    <w:rsid w:val="00C64F2A"/>
    <w:rsid w:val="00C65746"/>
    <w:rsid w:val="00C70BA5"/>
    <w:rsid w:val="00C73922"/>
    <w:rsid w:val="00C74449"/>
    <w:rsid w:val="00C763EB"/>
    <w:rsid w:val="00C77DF8"/>
    <w:rsid w:val="00C8099A"/>
    <w:rsid w:val="00C80B34"/>
    <w:rsid w:val="00C813DC"/>
    <w:rsid w:val="00C82FCE"/>
    <w:rsid w:val="00C83DBE"/>
    <w:rsid w:val="00C8544E"/>
    <w:rsid w:val="00C86BDF"/>
    <w:rsid w:val="00C878B8"/>
    <w:rsid w:val="00C90796"/>
    <w:rsid w:val="00C94447"/>
    <w:rsid w:val="00C95977"/>
    <w:rsid w:val="00C95E1E"/>
    <w:rsid w:val="00C95E89"/>
    <w:rsid w:val="00C9643F"/>
    <w:rsid w:val="00CA0089"/>
    <w:rsid w:val="00CA07EC"/>
    <w:rsid w:val="00CA15A1"/>
    <w:rsid w:val="00CA38C7"/>
    <w:rsid w:val="00CA56E1"/>
    <w:rsid w:val="00CB035C"/>
    <w:rsid w:val="00CB1AC0"/>
    <w:rsid w:val="00CC3324"/>
    <w:rsid w:val="00CC5168"/>
    <w:rsid w:val="00CC616C"/>
    <w:rsid w:val="00CC6E81"/>
    <w:rsid w:val="00CC7C56"/>
    <w:rsid w:val="00CD1B36"/>
    <w:rsid w:val="00CD1D9A"/>
    <w:rsid w:val="00CD2063"/>
    <w:rsid w:val="00CD21A3"/>
    <w:rsid w:val="00CD2B86"/>
    <w:rsid w:val="00CD3996"/>
    <w:rsid w:val="00CD4E3C"/>
    <w:rsid w:val="00CD4F85"/>
    <w:rsid w:val="00CD5E5F"/>
    <w:rsid w:val="00CD634C"/>
    <w:rsid w:val="00CE21A3"/>
    <w:rsid w:val="00CE36B0"/>
    <w:rsid w:val="00CE4C39"/>
    <w:rsid w:val="00CE7870"/>
    <w:rsid w:val="00CF1E4E"/>
    <w:rsid w:val="00CF2C1D"/>
    <w:rsid w:val="00CF573A"/>
    <w:rsid w:val="00CF590A"/>
    <w:rsid w:val="00CF5E20"/>
    <w:rsid w:val="00D01964"/>
    <w:rsid w:val="00D0526F"/>
    <w:rsid w:val="00D07D0E"/>
    <w:rsid w:val="00D100A4"/>
    <w:rsid w:val="00D111CF"/>
    <w:rsid w:val="00D12734"/>
    <w:rsid w:val="00D12922"/>
    <w:rsid w:val="00D13E17"/>
    <w:rsid w:val="00D14205"/>
    <w:rsid w:val="00D149F1"/>
    <w:rsid w:val="00D14A39"/>
    <w:rsid w:val="00D1567D"/>
    <w:rsid w:val="00D17305"/>
    <w:rsid w:val="00D177CA"/>
    <w:rsid w:val="00D208F7"/>
    <w:rsid w:val="00D20A5B"/>
    <w:rsid w:val="00D23684"/>
    <w:rsid w:val="00D256BB"/>
    <w:rsid w:val="00D26827"/>
    <w:rsid w:val="00D268EB"/>
    <w:rsid w:val="00D3152C"/>
    <w:rsid w:val="00D325D7"/>
    <w:rsid w:val="00D34936"/>
    <w:rsid w:val="00D350AE"/>
    <w:rsid w:val="00D4344E"/>
    <w:rsid w:val="00D4445F"/>
    <w:rsid w:val="00D45E27"/>
    <w:rsid w:val="00D46387"/>
    <w:rsid w:val="00D47A52"/>
    <w:rsid w:val="00D47B46"/>
    <w:rsid w:val="00D52729"/>
    <w:rsid w:val="00D536EF"/>
    <w:rsid w:val="00D55583"/>
    <w:rsid w:val="00D56886"/>
    <w:rsid w:val="00D5746D"/>
    <w:rsid w:val="00D57754"/>
    <w:rsid w:val="00D6341E"/>
    <w:rsid w:val="00D64ED9"/>
    <w:rsid w:val="00D6525A"/>
    <w:rsid w:val="00D67CFC"/>
    <w:rsid w:val="00D703CC"/>
    <w:rsid w:val="00D74B21"/>
    <w:rsid w:val="00D77069"/>
    <w:rsid w:val="00D77450"/>
    <w:rsid w:val="00D775BE"/>
    <w:rsid w:val="00D812C8"/>
    <w:rsid w:val="00D83359"/>
    <w:rsid w:val="00D84C38"/>
    <w:rsid w:val="00D85DD0"/>
    <w:rsid w:val="00D86F05"/>
    <w:rsid w:val="00D878FF"/>
    <w:rsid w:val="00D90393"/>
    <w:rsid w:val="00D904CE"/>
    <w:rsid w:val="00D905FF"/>
    <w:rsid w:val="00D90A45"/>
    <w:rsid w:val="00D934FD"/>
    <w:rsid w:val="00D9464D"/>
    <w:rsid w:val="00D96BC8"/>
    <w:rsid w:val="00DA3E4B"/>
    <w:rsid w:val="00DA43DD"/>
    <w:rsid w:val="00DA4F60"/>
    <w:rsid w:val="00DA6ADA"/>
    <w:rsid w:val="00DB1E19"/>
    <w:rsid w:val="00DB3CE5"/>
    <w:rsid w:val="00DC34AD"/>
    <w:rsid w:val="00DC4CA9"/>
    <w:rsid w:val="00DC6D0F"/>
    <w:rsid w:val="00DC7E90"/>
    <w:rsid w:val="00DD0870"/>
    <w:rsid w:val="00DD3215"/>
    <w:rsid w:val="00DD3D52"/>
    <w:rsid w:val="00DD5189"/>
    <w:rsid w:val="00DD5F65"/>
    <w:rsid w:val="00DD7D5A"/>
    <w:rsid w:val="00DE125B"/>
    <w:rsid w:val="00DE3655"/>
    <w:rsid w:val="00DE5805"/>
    <w:rsid w:val="00DE7BD1"/>
    <w:rsid w:val="00DF0783"/>
    <w:rsid w:val="00DF431D"/>
    <w:rsid w:val="00DF4399"/>
    <w:rsid w:val="00DF5B99"/>
    <w:rsid w:val="00DF78BE"/>
    <w:rsid w:val="00DF796A"/>
    <w:rsid w:val="00E03006"/>
    <w:rsid w:val="00E04046"/>
    <w:rsid w:val="00E0544C"/>
    <w:rsid w:val="00E06421"/>
    <w:rsid w:val="00E075EE"/>
    <w:rsid w:val="00E0782D"/>
    <w:rsid w:val="00E07C8A"/>
    <w:rsid w:val="00E07E2C"/>
    <w:rsid w:val="00E1150A"/>
    <w:rsid w:val="00E15403"/>
    <w:rsid w:val="00E15AD1"/>
    <w:rsid w:val="00E178C4"/>
    <w:rsid w:val="00E209C6"/>
    <w:rsid w:val="00E21307"/>
    <w:rsid w:val="00E272A2"/>
    <w:rsid w:val="00E27BC8"/>
    <w:rsid w:val="00E30FEB"/>
    <w:rsid w:val="00E32274"/>
    <w:rsid w:val="00E32463"/>
    <w:rsid w:val="00E32F4E"/>
    <w:rsid w:val="00E35C6D"/>
    <w:rsid w:val="00E428F5"/>
    <w:rsid w:val="00E42F02"/>
    <w:rsid w:val="00E435D2"/>
    <w:rsid w:val="00E44E07"/>
    <w:rsid w:val="00E465AC"/>
    <w:rsid w:val="00E46B3C"/>
    <w:rsid w:val="00E47638"/>
    <w:rsid w:val="00E5101B"/>
    <w:rsid w:val="00E51888"/>
    <w:rsid w:val="00E57A03"/>
    <w:rsid w:val="00E608CA"/>
    <w:rsid w:val="00E639B5"/>
    <w:rsid w:val="00E65C18"/>
    <w:rsid w:val="00E66F17"/>
    <w:rsid w:val="00E731C9"/>
    <w:rsid w:val="00E73575"/>
    <w:rsid w:val="00E73D3E"/>
    <w:rsid w:val="00E75CFD"/>
    <w:rsid w:val="00E77D3E"/>
    <w:rsid w:val="00E81FEB"/>
    <w:rsid w:val="00E84167"/>
    <w:rsid w:val="00E85BF8"/>
    <w:rsid w:val="00E86C63"/>
    <w:rsid w:val="00E86EF7"/>
    <w:rsid w:val="00E8716C"/>
    <w:rsid w:val="00E908A3"/>
    <w:rsid w:val="00E921FA"/>
    <w:rsid w:val="00E938B7"/>
    <w:rsid w:val="00E97119"/>
    <w:rsid w:val="00EA004C"/>
    <w:rsid w:val="00EA0908"/>
    <w:rsid w:val="00EA1824"/>
    <w:rsid w:val="00EA1CBE"/>
    <w:rsid w:val="00EA47BD"/>
    <w:rsid w:val="00EB5213"/>
    <w:rsid w:val="00EB5C81"/>
    <w:rsid w:val="00EB65BD"/>
    <w:rsid w:val="00EB76EE"/>
    <w:rsid w:val="00EB7E05"/>
    <w:rsid w:val="00EC0036"/>
    <w:rsid w:val="00EC2C4C"/>
    <w:rsid w:val="00EC3755"/>
    <w:rsid w:val="00EC4C40"/>
    <w:rsid w:val="00EC4ECB"/>
    <w:rsid w:val="00EC6025"/>
    <w:rsid w:val="00EC7879"/>
    <w:rsid w:val="00ED060A"/>
    <w:rsid w:val="00ED0E67"/>
    <w:rsid w:val="00ED19CF"/>
    <w:rsid w:val="00ED1DE2"/>
    <w:rsid w:val="00ED3C01"/>
    <w:rsid w:val="00ED3C9C"/>
    <w:rsid w:val="00ED552E"/>
    <w:rsid w:val="00ED5DB2"/>
    <w:rsid w:val="00ED6253"/>
    <w:rsid w:val="00ED65E0"/>
    <w:rsid w:val="00ED69CC"/>
    <w:rsid w:val="00ED75C5"/>
    <w:rsid w:val="00ED7E57"/>
    <w:rsid w:val="00EE1755"/>
    <w:rsid w:val="00EE1B02"/>
    <w:rsid w:val="00EE5F05"/>
    <w:rsid w:val="00EF02B0"/>
    <w:rsid w:val="00EF0782"/>
    <w:rsid w:val="00EF07E2"/>
    <w:rsid w:val="00EF1239"/>
    <w:rsid w:val="00EF2D0C"/>
    <w:rsid w:val="00EF54DF"/>
    <w:rsid w:val="00EF6C1C"/>
    <w:rsid w:val="00EF6E43"/>
    <w:rsid w:val="00EF7518"/>
    <w:rsid w:val="00F032C0"/>
    <w:rsid w:val="00F0436F"/>
    <w:rsid w:val="00F061A1"/>
    <w:rsid w:val="00F11BDD"/>
    <w:rsid w:val="00F15B04"/>
    <w:rsid w:val="00F16277"/>
    <w:rsid w:val="00F17C6A"/>
    <w:rsid w:val="00F2250C"/>
    <w:rsid w:val="00F22A44"/>
    <w:rsid w:val="00F266DF"/>
    <w:rsid w:val="00F27991"/>
    <w:rsid w:val="00F31488"/>
    <w:rsid w:val="00F31D38"/>
    <w:rsid w:val="00F33C8E"/>
    <w:rsid w:val="00F35B49"/>
    <w:rsid w:val="00F37EB2"/>
    <w:rsid w:val="00F42835"/>
    <w:rsid w:val="00F43742"/>
    <w:rsid w:val="00F43B8A"/>
    <w:rsid w:val="00F44FB4"/>
    <w:rsid w:val="00F464EF"/>
    <w:rsid w:val="00F47F08"/>
    <w:rsid w:val="00F534D7"/>
    <w:rsid w:val="00F54D73"/>
    <w:rsid w:val="00F57575"/>
    <w:rsid w:val="00F577DB"/>
    <w:rsid w:val="00F57EBD"/>
    <w:rsid w:val="00F607B0"/>
    <w:rsid w:val="00F625CF"/>
    <w:rsid w:val="00F63CE7"/>
    <w:rsid w:val="00F6496F"/>
    <w:rsid w:val="00F65AB4"/>
    <w:rsid w:val="00F66CF5"/>
    <w:rsid w:val="00F71D50"/>
    <w:rsid w:val="00F7219A"/>
    <w:rsid w:val="00F763CD"/>
    <w:rsid w:val="00F80DCE"/>
    <w:rsid w:val="00F842F2"/>
    <w:rsid w:val="00F85F13"/>
    <w:rsid w:val="00F8654A"/>
    <w:rsid w:val="00F8722B"/>
    <w:rsid w:val="00F91772"/>
    <w:rsid w:val="00F91EDF"/>
    <w:rsid w:val="00F92733"/>
    <w:rsid w:val="00F93BC5"/>
    <w:rsid w:val="00F94DC8"/>
    <w:rsid w:val="00F95397"/>
    <w:rsid w:val="00F96544"/>
    <w:rsid w:val="00F96E33"/>
    <w:rsid w:val="00F97D97"/>
    <w:rsid w:val="00FA2D3E"/>
    <w:rsid w:val="00FA302E"/>
    <w:rsid w:val="00FA54BF"/>
    <w:rsid w:val="00FA58E2"/>
    <w:rsid w:val="00FA6B7A"/>
    <w:rsid w:val="00FA6D1B"/>
    <w:rsid w:val="00FA7093"/>
    <w:rsid w:val="00FA7BCF"/>
    <w:rsid w:val="00FB13E7"/>
    <w:rsid w:val="00FB1897"/>
    <w:rsid w:val="00FB344E"/>
    <w:rsid w:val="00FB46CC"/>
    <w:rsid w:val="00FB6AD6"/>
    <w:rsid w:val="00FC1861"/>
    <w:rsid w:val="00FC290A"/>
    <w:rsid w:val="00FC2E82"/>
    <w:rsid w:val="00FC2F70"/>
    <w:rsid w:val="00FC3B75"/>
    <w:rsid w:val="00FC5398"/>
    <w:rsid w:val="00FC6147"/>
    <w:rsid w:val="00FC6727"/>
    <w:rsid w:val="00FD0776"/>
    <w:rsid w:val="00FD57C5"/>
    <w:rsid w:val="00FD7B8B"/>
    <w:rsid w:val="00FE14A8"/>
    <w:rsid w:val="00FE206D"/>
    <w:rsid w:val="00FE382D"/>
    <w:rsid w:val="00FF019A"/>
    <w:rsid w:val="00FF0422"/>
    <w:rsid w:val="00FF34D8"/>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3A52CD"/>
  <w15:chartTrackingRefBased/>
  <w15:docId w15:val="{81CFC84F-7327-4645-BEDB-ACDA26A6A8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customStyle="1" w:styleId="eMailBlock">
    <w:name w:val="eMailBlock"/>
    <w:basedOn w:val="Title"/>
    <w:rPr>
      <w:sz w:val="26"/>
    </w:rPr>
  </w:style>
  <w:style w:type="paragraph" w:styleId="ListParagraph">
    <w:name w:val="List Paragraph"/>
    <w:basedOn w:val="Normal"/>
    <w:uiPriority w:val="34"/>
    <w:qFormat/>
    <w:rsid w:val="006318CB"/>
    <w:pPr>
      <w:spacing w:after="160" w:line="259" w:lineRule="auto"/>
      <w:ind w:left="720"/>
      <w:contextualSpacing/>
    </w:pPr>
    <w:rPr>
      <w:rFonts w:ascii="Calibri" w:eastAsia="Calibri" w:hAnsi="Calibri"/>
      <w:sz w:val="22"/>
      <w:szCs w:val="22"/>
    </w:rPr>
  </w:style>
  <w:style w:type="paragraph" w:styleId="FootnoteText">
    <w:name w:val="footnote text"/>
    <w:basedOn w:val="Normal"/>
    <w:link w:val="FootnoteTextChar"/>
    <w:rsid w:val="002A3E8A"/>
    <w:rPr>
      <w:sz w:val="20"/>
      <w:szCs w:val="20"/>
    </w:rPr>
  </w:style>
  <w:style w:type="character" w:customStyle="1" w:styleId="FootnoteTextChar">
    <w:name w:val="Footnote Text Char"/>
    <w:link w:val="FootnoteText"/>
    <w:rsid w:val="002A3E8A"/>
    <w:rPr>
      <w:lang w:eastAsia="en-US"/>
    </w:rPr>
  </w:style>
  <w:style w:type="character" w:styleId="FootnoteReference">
    <w:name w:val="footnote reference"/>
    <w:rsid w:val="002A3E8A"/>
    <w:rPr>
      <w:vertAlign w:val="superscript"/>
    </w:rPr>
  </w:style>
  <w:style w:type="character" w:styleId="CommentReference">
    <w:name w:val="annotation reference"/>
    <w:rsid w:val="00020879"/>
    <w:rPr>
      <w:sz w:val="16"/>
      <w:szCs w:val="16"/>
    </w:rPr>
  </w:style>
  <w:style w:type="paragraph" w:styleId="CommentText">
    <w:name w:val="annotation text"/>
    <w:basedOn w:val="Normal"/>
    <w:link w:val="CommentTextChar"/>
    <w:rsid w:val="00020879"/>
    <w:rPr>
      <w:sz w:val="20"/>
      <w:szCs w:val="20"/>
    </w:rPr>
  </w:style>
  <w:style w:type="character" w:customStyle="1" w:styleId="CommentTextChar">
    <w:name w:val="Comment Text Char"/>
    <w:link w:val="CommentText"/>
    <w:rsid w:val="00020879"/>
    <w:rPr>
      <w:lang w:eastAsia="en-US"/>
    </w:rPr>
  </w:style>
  <w:style w:type="paragraph" w:styleId="CommentSubject">
    <w:name w:val="annotation subject"/>
    <w:basedOn w:val="CommentText"/>
    <w:next w:val="CommentText"/>
    <w:link w:val="CommentSubjectChar"/>
    <w:rsid w:val="00020879"/>
    <w:rPr>
      <w:b/>
      <w:bCs/>
    </w:rPr>
  </w:style>
  <w:style w:type="character" w:customStyle="1" w:styleId="CommentSubjectChar">
    <w:name w:val="Comment Subject Char"/>
    <w:link w:val="CommentSubject"/>
    <w:rsid w:val="00020879"/>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771487">
      <w:bodyDiv w:val="1"/>
      <w:marLeft w:val="0"/>
      <w:marRight w:val="0"/>
      <w:marTop w:val="0"/>
      <w:marBottom w:val="0"/>
      <w:divBdr>
        <w:top w:val="none" w:sz="0" w:space="0" w:color="auto"/>
        <w:left w:val="none" w:sz="0" w:space="0" w:color="auto"/>
        <w:bottom w:val="none" w:sz="0" w:space="0" w:color="auto"/>
        <w:right w:val="none" w:sz="0" w:space="0" w:color="auto"/>
      </w:divBdr>
    </w:div>
    <w:div w:id="772436786">
      <w:bodyDiv w:val="1"/>
      <w:marLeft w:val="0"/>
      <w:marRight w:val="0"/>
      <w:marTop w:val="0"/>
      <w:marBottom w:val="0"/>
      <w:divBdr>
        <w:top w:val="none" w:sz="0" w:space="0" w:color="auto"/>
        <w:left w:val="none" w:sz="0" w:space="0" w:color="auto"/>
        <w:bottom w:val="none" w:sz="0" w:space="0" w:color="auto"/>
        <w:right w:val="none" w:sz="0" w:space="0" w:color="auto"/>
      </w:divBdr>
    </w:div>
    <w:div w:id="792745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H93Z\OneDrive%20-%20Ministry%20of%20Justice\JudgmentTemplate\Templates\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8D71330B0C2549B31E9CAA61AC1BC3" ma:contentTypeVersion="13" ma:contentTypeDescription="Create a new document." ma:contentTypeScope="" ma:versionID="defb27f67018320342971d4590fb8677">
  <xsd:schema xmlns:xsd="http://www.w3.org/2001/XMLSchema" xmlns:xs="http://www.w3.org/2001/XMLSchema" xmlns:p="http://schemas.microsoft.com/office/2006/metadata/properties" xmlns:ns3="a43c54ca-90c5-4eb2-9b56-d69f0a03b442" xmlns:ns4="36d64681-489a-459f-a53c-1f862f465b6d" targetNamespace="http://schemas.microsoft.com/office/2006/metadata/properties" ma:root="true" ma:fieldsID="aa36dcd94bde4f399849411cfd72a852" ns3:_="" ns4:_="">
    <xsd:import namespace="a43c54ca-90c5-4eb2-9b56-d69f0a03b442"/>
    <xsd:import namespace="36d64681-489a-459f-a53c-1f862f465b6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3c54ca-90c5-4eb2-9b56-d69f0a03b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d64681-489a-459f-a53c-1f862f465b6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FD1F25-0B08-4F88-BF77-4EA3B8896857}">
  <ds:schemaRefs>
    <ds:schemaRef ds:uri="http://purl.org/dc/elements/1.1/"/>
    <ds:schemaRef ds:uri="http://purl.org/dc/dcmitype/"/>
    <ds:schemaRef ds:uri="http://schemas.microsoft.com/office/2006/documentManagement/types"/>
    <ds:schemaRef ds:uri="a43c54ca-90c5-4eb2-9b56-d69f0a03b442"/>
    <ds:schemaRef ds:uri="36d64681-489a-459f-a53c-1f862f465b6d"/>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43C38024-6A89-4965-A50A-59B74523C3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3c54ca-90c5-4eb2-9b56-d69f0a03b442"/>
    <ds:schemaRef ds:uri="36d64681-489a-459f-a53c-1f862f465b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7903C87-7931-4DE1-AA0D-37E13872CF4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hc_judg2k.dot</Template>
  <TotalTime>6</TotalTime>
  <Pages>21</Pages>
  <Words>8746</Words>
  <Characters>49855</Characters>
  <Application>Microsoft Office Word</Application>
  <DocSecurity>0</DocSecurity>
  <Lines>415</Lines>
  <Paragraphs>116</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58485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subject/>
  <dc:creator>Reid, Neal</dc:creator>
  <cp:keywords/>
  <dc:description/>
  <cp:lastModifiedBy>Reid, Neal</cp:lastModifiedBy>
  <cp:revision>6</cp:revision>
  <cp:lastPrinted>2022-04-08T11:17:00Z</cp:lastPrinted>
  <dcterms:created xsi:type="dcterms:W3CDTF">2022-04-13T06:28:00Z</dcterms:created>
  <dcterms:modified xsi:type="dcterms:W3CDTF">2022-04-13T06:35:00Z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QUEEN'S BENCH DIVISION</vt:lpwstr>
  </property>
  <property fmtid="{D5CDD505-2E9C-101B-9397-08002B2CF9AE}" pid="5" name="SubDivision">
    <vt:lpwstr>ADMINISTRATIVE COURT</vt:lpwstr>
  </property>
  <property fmtid="{D5CDD505-2E9C-101B-9397-08002B2CF9AE}" pid="6" name="ApprovedStage">
    <vt:lpwstr>Approved</vt:lpwstr>
  </property>
  <property fmtid="{D5CDD505-2E9C-101B-9397-08002B2CF9AE}" pid="7" name="NCDiv">
    <vt:lpwstr>Admin</vt:lpwstr>
  </property>
  <property fmtid="{D5CDD505-2E9C-101B-9397-08002B2CF9AE}" pid="8" name="ContentTypeId">
    <vt:lpwstr>0x010100838D71330B0C2549B31E9CAA61AC1BC3</vt:lpwstr>
  </property>
  <property fmtid="{D5CDD505-2E9C-101B-9397-08002B2CF9AE}" pid="9" name="NCCaseNum">
    <vt:lpwstr>CO/1141/2019</vt:lpwstr>
  </property>
  <property fmtid="{D5CDD505-2E9C-101B-9397-08002B2CF9AE}" pid="10" name="NCJudgeDate">
    <vt:lpwstr>07/04/2022</vt:lpwstr>
  </property>
  <property fmtid="{D5CDD505-2E9C-101B-9397-08002B2CF9AE}" pid="11" name="NCJudge">
    <vt:lpwstr>LORD JUSTICE COULSON</vt:lpwstr>
  </property>
  <property fmtid="{D5CDD505-2E9C-101B-9397-08002B2CF9AE}" pid="12" name="NCCaseTitle">
    <vt:lpwstr>Mihaylov v Bulgaria</vt:lpwstr>
  </property>
  <property fmtid="{D5CDD505-2E9C-101B-9397-08002B2CF9AE}" pid="13" name="NCNumber">
    <vt:lpwstr>[2022] EWHC 908 (Admin)</vt:lpwstr>
  </property>
</Properties>
</file>